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lang w:eastAsia="zh-CN"/>
        </w:rPr>
        <w:t>吴川垃圾发电</w:t>
      </w:r>
      <w:r>
        <w:rPr>
          <w:rFonts w:ascii="Arial" w:hAnsi="Arial" w:eastAsia="宋体" w:cs="Arial"/>
          <w:color w:val="333333"/>
          <w:kern w:val="0"/>
          <w:sz w:val="36"/>
          <w:szCs w:val="36"/>
        </w:rPr>
        <w:t>项目</w:t>
      </w:r>
      <w:r>
        <w:rPr>
          <w:rFonts w:hint="eastAsia" w:ascii="Arial" w:hAnsi="Arial" w:eastAsia="宋体" w:cs="Arial"/>
          <w:color w:val="333333"/>
          <w:kern w:val="0"/>
          <w:sz w:val="36"/>
          <w:szCs w:val="36"/>
          <w:lang w:eastAsia="zh-CN"/>
        </w:rPr>
        <w:t>2025</w:t>
      </w:r>
      <w:r>
        <w:rPr>
          <w:rFonts w:hint="eastAsia" w:ascii="Arial" w:hAnsi="Arial" w:eastAsia="宋体" w:cs="Arial"/>
          <w:color w:val="333333"/>
          <w:kern w:val="0"/>
          <w:sz w:val="36"/>
          <w:szCs w:val="36"/>
          <w:lang w:val="en-US" w:eastAsia="zh-CN"/>
        </w:rPr>
        <w:t>-2026</w:t>
      </w:r>
      <w:r>
        <w:rPr>
          <w:rFonts w:hint="eastAsia" w:ascii="Arial" w:hAnsi="Arial" w:eastAsia="宋体" w:cs="Arial"/>
          <w:color w:val="333333"/>
          <w:kern w:val="0"/>
          <w:sz w:val="36"/>
          <w:szCs w:val="36"/>
          <w:lang w:eastAsia="zh-CN"/>
        </w:rPr>
        <w:t>年粉状煤质活性炭</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rPr>
        <w:t>ITB-</w:t>
      </w:r>
      <w:bookmarkEnd w:id="0"/>
      <w:r>
        <w:rPr>
          <w:rFonts w:hint="eastAsia" w:ascii="宋体" w:hAnsi="宋体" w:eastAsia="宋体"/>
          <w:sz w:val="30"/>
          <w:szCs w:val="30"/>
          <w:lang w:eastAsia="zh-CN"/>
        </w:rPr>
        <w:t>LK-ZJLK-ZB-JC2026-002</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湛江市朗坤环保能源有限公司</w:t>
      </w:r>
    </w:p>
    <w:p w14:paraId="2A11BBA1">
      <w:pPr>
        <w:ind w:firstLine="3900" w:firstLineChars="1300"/>
        <w:jc w:val="both"/>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5</w:t>
      </w:r>
      <w:r>
        <w:rPr>
          <w:rFonts w:ascii="宋体" w:hAnsi="宋体" w:eastAsia="宋体"/>
          <w:sz w:val="30"/>
          <w:szCs w:val="30"/>
        </w:rPr>
        <w:t>月</w:t>
      </w:r>
    </w:p>
    <w:p w14:paraId="019D775B">
      <w:pPr>
        <w:widowControl/>
        <w:spacing w:before="75" w:line="270" w:lineRule="atLeast"/>
        <w:jc w:val="left"/>
        <w:rPr>
          <w:rFonts w:ascii="Tahoma" w:hAnsi="Tahoma" w:eastAsia="宋体" w:cs="Tahoma"/>
          <w:color w:val="000000"/>
          <w:kern w:val="0"/>
          <w:sz w:val="18"/>
          <w:szCs w:val="18"/>
        </w:rPr>
      </w:pPr>
      <w:bookmarkStart w:id="1" w:name="_Toc91073131"/>
      <w:bookmarkStart w:id="2" w:name="_Toc184635054"/>
      <w:bookmarkStart w:id="3" w:name="_Toc176085606"/>
      <w:bookmarkStart w:id="4" w:name="_Toc456800242"/>
      <w:bookmarkStart w:id="5" w:name="_Toc456800136"/>
      <w:bookmarkStart w:id="6" w:name="_Toc456799947"/>
      <w:bookmarkStart w:id="7" w:name="_Toc456799795"/>
      <w:bookmarkStart w:id="8" w:name="_Toc456800085"/>
      <w:bookmarkStart w:id="9" w:name="_Toc456799687"/>
      <w:bookmarkStart w:id="10" w:name="_Toc456800166"/>
      <w:r>
        <w:rPr>
          <w:rFonts w:hint="eastAsia" w:ascii="宋体" w:hAnsi="宋体" w:eastAsia="宋体" w:cs="Tahoma"/>
          <w:color w:val="000000"/>
          <w:kern w:val="0"/>
          <w:szCs w:val="21"/>
        </w:rPr>
        <w:t>本招标项目</w:t>
      </w:r>
      <w:r>
        <w:rPr>
          <w:rFonts w:hint="eastAsia" w:ascii="宋体" w:hAnsi="宋体" w:eastAsia="宋体" w:cs="Tahoma"/>
          <w:color w:val="000000"/>
          <w:kern w:val="0"/>
          <w:szCs w:val="21"/>
          <w:lang w:eastAsia="zh-CN"/>
        </w:rPr>
        <w:t>湛江市吴川垃圾发电项目</w:t>
      </w:r>
      <w:r>
        <w:rPr>
          <w:rFonts w:hint="eastAsia" w:ascii="宋体" w:hAnsi="宋体" w:eastAsia="宋体" w:cs="Tahoma"/>
          <w:color w:val="000000"/>
          <w:kern w:val="0"/>
          <w:szCs w:val="21"/>
        </w:rPr>
        <w:t>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w:t>
      </w:r>
      <w:r>
        <w:rPr>
          <w:rFonts w:hint="eastAsia" w:ascii="宋体" w:hAnsi="宋体" w:eastAsia="宋体" w:cs="Tahoma"/>
          <w:color w:val="000000"/>
          <w:kern w:val="0"/>
          <w:szCs w:val="21"/>
          <w:lang w:eastAsia="zh-CN"/>
        </w:rPr>
        <w:t>湛江市朗坤环保能源有限公司</w:t>
      </w:r>
      <w:r>
        <w:rPr>
          <w:rFonts w:hint="eastAsia" w:ascii="宋体" w:hAnsi="宋体" w:eastAsia="宋体" w:cs="Tahoma"/>
          <w:color w:val="000000"/>
          <w:kern w:val="0"/>
          <w:szCs w:val="21"/>
        </w:rPr>
        <w:t>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1"/>
    <w:bookmarkEnd w:id="2"/>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w:t>
      </w:r>
      <w:r>
        <w:rPr>
          <w:rFonts w:hint="eastAsia" w:ascii="宋体" w:hAnsi="宋体" w:eastAsia="宋体" w:cs="Tahoma"/>
          <w:color w:val="000000"/>
          <w:kern w:val="0"/>
          <w:szCs w:val="21"/>
          <w:lang w:eastAsia="zh-CN"/>
        </w:rPr>
        <w:t>湛江市朗坤环保能源有限公司</w:t>
      </w:r>
      <w:r>
        <w:rPr>
          <w:rFonts w:hint="eastAsia" w:ascii="宋体" w:hAnsi="宋体" w:eastAsia="宋体" w:cs="Tahoma"/>
          <w:color w:val="000000"/>
          <w:kern w:val="0"/>
          <w:szCs w:val="21"/>
        </w:rPr>
        <w:t>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w:t>
      </w:r>
      <w:r>
        <w:rPr>
          <w:rFonts w:hint="eastAsia" w:ascii="Calibri" w:hAnsi="宋体" w:eastAsia="宋体" w:cs="Calibri"/>
          <w:kern w:val="0"/>
          <w:szCs w:val="24"/>
        </w:rPr>
        <w:t>广东省吴川市环保热力发电厂及配套设施项目</w:t>
      </w:r>
      <w:r>
        <w:rPr>
          <w:rFonts w:asciiTheme="minorHAnsi" w:hAnsiTheme="minorEastAsia" w:eastAsiaTheme="minorEastAsia" w:cstheme="minorHAnsi"/>
          <w:kern w:val="0"/>
          <w:szCs w:val="24"/>
        </w:rPr>
        <w:t>处理厂内</w:t>
      </w:r>
      <w:r>
        <w:rPr>
          <w:rFonts w:hint="eastAsia" w:ascii="宋体" w:hAnsi="宋体" w:eastAsia="宋体" w:cs="Tahoma"/>
          <w:color w:val="000000"/>
          <w:kern w:val="0"/>
          <w:szCs w:val="21"/>
        </w:rPr>
        <w:t>。</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三、招标编号：</w:t>
      </w:r>
      <w:r>
        <w:rPr>
          <w:rFonts w:hint="eastAsia" w:ascii="宋体" w:hAnsi="宋体" w:eastAsia="宋体" w:cs="Tahoma"/>
          <w:b/>
          <w:bCs/>
          <w:color w:val="000000"/>
          <w:kern w:val="0"/>
          <w:szCs w:val="21"/>
          <w:lang w:eastAsia="zh-CN"/>
        </w:rPr>
        <w:t>LK-ZB-EB-2025021</w:t>
      </w:r>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3222F47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180</w:t>
      </w:r>
      <w:r>
        <w:rPr>
          <w:rFonts w:hint="eastAsia" w:ascii="宋体" w:hAnsi="宋体" w:eastAsia="宋体" w:cs="Tahoma"/>
          <w:color w:val="000000"/>
          <w:kern w:val="0"/>
          <w:szCs w:val="21"/>
        </w:rPr>
        <w:t>吨</w:t>
      </w:r>
      <w:r>
        <w:rPr>
          <w:rFonts w:hint="eastAsia" w:ascii="宋体" w:hAnsi="宋体" w:eastAsia="宋体" w:cs="Tahoma"/>
          <w:color w:val="000000"/>
          <w:kern w:val="0"/>
          <w:szCs w:val="21"/>
          <w:lang w:eastAsia="zh-CN"/>
        </w:rPr>
        <w:t>粉状煤质活性炭（蒸汽活化）</w:t>
      </w:r>
      <w:r>
        <w:rPr>
          <w:rFonts w:hint="eastAsia" w:ascii="宋体" w:hAnsi="宋体" w:eastAsia="宋体" w:cs="Tahoma"/>
          <w:color w:val="000000"/>
          <w:kern w:val="0"/>
          <w:szCs w:val="21"/>
        </w:rPr>
        <w:t>，</w:t>
      </w:r>
      <w:r>
        <w:rPr>
          <w:rFonts w:hint="eastAsia" w:ascii="宋体" w:hAnsi="宋体" w:eastAsia="宋体" w:cs="Tahoma"/>
          <w:color w:val="000000"/>
          <w:kern w:val="0"/>
          <w:szCs w:val="21"/>
          <w:lang w:eastAsia="zh-CN"/>
        </w:rPr>
        <w:t>碘</w:t>
      </w:r>
      <w:r>
        <w:rPr>
          <w:rFonts w:hint="eastAsia" w:ascii="宋体" w:hAnsi="宋体" w:eastAsia="宋体" w:cs="Tahoma"/>
          <w:color w:val="000000"/>
          <w:kern w:val="0"/>
          <w:szCs w:val="21"/>
        </w:rPr>
        <w:t>吸附值≥900 mg/g、比表面积（BET）≥900㎡/g、水分≤5%</w:t>
      </w:r>
      <w:r>
        <w:rPr>
          <w:rFonts w:hint="eastAsia" w:ascii="宋体" w:hAnsi="宋体" w:eastAsia="宋体" w:cs="Tahoma"/>
          <w:color w:val="000000"/>
          <w:kern w:val="0"/>
          <w:szCs w:val="21"/>
          <w:lang w:eastAsia="zh-CN"/>
        </w:rPr>
        <w:t>、</w:t>
      </w:r>
      <w:r>
        <w:rPr>
          <w:rFonts w:hint="eastAsia" w:ascii="宋体" w:hAnsi="宋体" w:eastAsia="宋体" w:cs="Tahoma"/>
          <w:color w:val="000000"/>
          <w:kern w:val="0"/>
          <w:szCs w:val="21"/>
        </w:rPr>
        <w:t>含增值税13%专用发票 、含槽罐车运费保险费用、含卸货费。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2025年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年</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hint="eastAsia" w:ascii="Tahoma" w:hAnsi="Tahoma" w:eastAsia="宋体" w:cs="Tahoma"/>
          <w:color w:val="000000"/>
          <w:kern w:val="0"/>
          <w:sz w:val="18"/>
          <w:szCs w:val="18"/>
          <w:lang w:eastAsia="zh-CN"/>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lang w:eastAsia="zh-CN"/>
        </w:rPr>
        <w:t>湛江市朗坤环保能源有限公司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2DB56F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电话：18938329908</w:t>
      </w:r>
    </w:p>
    <w:p w14:paraId="7256383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邮箱：79033180@qq.com</w:t>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1" w:name="_Toc91073141"/>
      <w:r>
        <w:rPr>
          <w:rFonts w:hint="eastAsia" w:ascii="宋体" w:hAnsi="宋体"/>
          <w:b w:val="0"/>
          <w:color w:val="000000"/>
          <w:sz w:val="24"/>
          <w:szCs w:val="24"/>
        </w:rPr>
        <w:t>附件 1-1：投标意向确认书格式</w:t>
      </w:r>
      <w:bookmarkEnd w:id="3"/>
      <w:bookmarkEnd w:id="11"/>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湛江市朗坤环保能源有限公司粉状煤质活性炭</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LK-ZJLK-ZB-JC2026-002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2"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w:t>
            </w:r>
            <w:r>
              <w:rPr>
                <w:rFonts w:hint="eastAsia" w:asciiTheme="minorEastAsia" w:hAnsiTheme="minorEastAsia" w:eastAsiaTheme="minorEastAsia"/>
                <w:szCs w:val="24"/>
                <w:lang w:val="en-US" w:eastAsia="zh-CN"/>
              </w:rPr>
              <w:t>槽罐车</w:t>
            </w:r>
            <w:r>
              <w:rPr>
                <w:rFonts w:hint="eastAsia" w:asciiTheme="minorEastAsia" w:hAnsiTheme="minorEastAsia" w:eastAsiaTheme="minorEastAsia"/>
                <w:szCs w:val="24"/>
              </w:rPr>
              <w:t>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每月</w:t>
            </w:r>
            <w:r>
              <w:rPr>
                <w:rFonts w:hint="eastAsia" w:cs="Times New Roman" w:asciiTheme="minorEastAsia" w:hAnsiTheme="minorEastAsia" w:eastAsiaTheme="minorEastAsia"/>
              </w:rPr>
              <w:t>21号统计上月21-本月20日实际交货的数量（经甲方验收合格），通知乙方开票、实际付款时间为甲方收到乙方发票后</w:t>
            </w:r>
            <w:r>
              <w:rPr>
                <w:rFonts w:hint="eastAsia" w:cs="Times New Roman" w:asciiTheme="minorEastAsia" w:hAnsiTheme="minorEastAsia" w:eastAsiaTheme="minorEastAsia"/>
                <w:lang w:val="en-US" w:eastAsia="zh-CN"/>
              </w:rPr>
              <w:t>60</w:t>
            </w:r>
            <w:r>
              <w:rPr>
                <w:rFonts w:hint="eastAsia" w:cs="Times New Roman" w:asciiTheme="minorEastAsia" w:hAnsiTheme="minorEastAsia" w:eastAsiaTheme="minorEastAsia"/>
              </w:rPr>
              <w:t>天</w:t>
            </w:r>
            <w:r>
              <w:rPr>
                <w:rFonts w:hint="eastAsia" w:cs="Times New Roman" w:asciiTheme="minorEastAsia" w:hAnsiTheme="minorEastAsia" w:eastAsiaTheme="minorEastAsia"/>
                <w:lang w:val="en-US" w:eastAsia="zh-CN"/>
              </w:rPr>
              <w:t>内</w:t>
            </w:r>
            <w:r>
              <w:rPr>
                <w:rFonts w:hint="eastAsia" w:cs="Times New Roman" w:asciiTheme="minorEastAsia" w:hAnsiTheme="minorEastAsia" w:eastAsiaTheme="minorEastAsia"/>
              </w:rPr>
              <w:t>付款。</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180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r>
              <w:rPr>
                <w:rFonts w:hint="eastAsia" w:ascii="宋体" w:hAnsi="宋体" w:eastAsia="宋体"/>
                <w:color w:val="FF0000"/>
                <w:sz w:val="21"/>
                <w:szCs w:val="21"/>
              </w:rPr>
              <w:t>。</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1、合格验收：碘吸附值≥900 mg/g、细度200目过筛≥95、 水分≤5% ，甲方作为合格物料予以验收结算。</w:t>
            </w:r>
          </w:p>
          <w:p w14:paraId="35A536BA">
            <w:pPr>
              <w:spacing w:beforeLines="50" w:afterLines="50" w:line="360" w:lineRule="auto"/>
              <w:ind w:firstLine="33" w:firstLineChars="14"/>
              <w:rPr>
                <w:rFonts w:ascii="宋体" w:hAnsi="宋体" w:eastAsia="宋体"/>
              </w:rPr>
            </w:pPr>
            <w:r>
              <w:rPr>
                <w:rFonts w:hint="eastAsia" w:asciiTheme="minorEastAsia" w:hAnsiTheme="minorEastAsia" w:eastAsiaTheme="minorEastAsia"/>
              </w:rPr>
              <w:t>2、区间验收折价结算：当</w:t>
            </w:r>
            <w:r>
              <w:rPr>
                <w:rFonts w:hint="eastAsia" w:asciiTheme="minorEastAsia" w:hAnsiTheme="minorEastAsia" w:eastAsiaTheme="minorEastAsia"/>
                <w:lang w:eastAsia="zh-CN"/>
              </w:rPr>
              <w:t>粉状煤质活性炭</w:t>
            </w:r>
            <w:r>
              <w:rPr>
                <w:rFonts w:hint="eastAsia" w:asciiTheme="minorEastAsia" w:hAnsiTheme="minorEastAsia" w:eastAsiaTheme="minorEastAsia"/>
              </w:rPr>
              <w:t>碘吸附值在</w:t>
            </w:r>
            <w:r>
              <w:rPr>
                <w:rFonts w:hint="eastAsia" w:asciiTheme="minorEastAsia" w:hAnsiTheme="minorEastAsia" w:eastAsiaTheme="minorEastAsia"/>
                <w:lang w:val="en-US" w:eastAsia="zh-CN"/>
              </w:rPr>
              <w:t>8</w:t>
            </w:r>
            <w:r>
              <w:rPr>
                <w:rFonts w:hint="eastAsia" w:asciiTheme="minorEastAsia" w:hAnsiTheme="minorEastAsia" w:eastAsiaTheme="minorEastAsia"/>
              </w:rPr>
              <w:t>60 mg/g</w:t>
            </w:r>
            <w:r>
              <w:rPr>
                <w:rFonts w:hint="eastAsia" w:asciiTheme="minorEastAsia" w:hAnsiTheme="minorEastAsia" w:eastAsiaTheme="minorEastAsia"/>
                <w:lang w:val="en-US" w:eastAsia="zh-CN"/>
              </w:rPr>
              <w:t>到</w:t>
            </w:r>
            <w:r>
              <w:rPr>
                <w:rFonts w:hint="eastAsia" w:asciiTheme="minorEastAsia" w:hAnsiTheme="minorEastAsia" w:eastAsiaTheme="minorEastAsia"/>
              </w:rPr>
              <w:t>900 mg/g之间，且</w:t>
            </w:r>
            <w:r>
              <w:rPr>
                <w:rFonts w:hint="eastAsia" w:asciiTheme="minorEastAsia" w:hAnsiTheme="minorEastAsia" w:eastAsiaTheme="minorEastAsia"/>
                <w:lang w:eastAsia="zh-CN"/>
              </w:rPr>
              <w:t>粉状煤质活性炭</w:t>
            </w:r>
            <w:r>
              <w:rPr>
                <w:rFonts w:hint="eastAsia" w:asciiTheme="minorEastAsia" w:hAnsiTheme="minorEastAsia" w:eastAsiaTheme="minorEastAsia"/>
              </w:rPr>
              <w:t>粒度通过率（</w:t>
            </w:r>
            <w:r>
              <w:rPr>
                <w:rFonts w:hint="eastAsia" w:asciiTheme="minorEastAsia" w:hAnsiTheme="minorEastAsia" w:eastAsiaTheme="minorEastAsia"/>
                <w:lang w:val="en-US" w:eastAsia="zh-CN"/>
              </w:rPr>
              <w:t>200</w:t>
            </w:r>
            <w:r>
              <w:rPr>
                <w:rFonts w:hint="eastAsia" w:asciiTheme="minorEastAsia" w:hAnsiTheme="minorEastAsia" w:eastAsiaTheme="minorEastAsia"/>
              </w:rPr>
              <w:t>目）在90%（含）到95%（不含）之间，</w:t>
            </w:r>
            <w:r>
              <w:rPr>
                <w:rFonts w:hint="eastAsia" w:asciiTheme="minorEastAsia" w:hAnsiTheme="minorEastAsia" w:eastAsiaTheme="minorEastAsia"/>
                <w:lang w:val="en-US" w:eastAsia="zh-CN"/>
              </w:rPr>
              <w:t>水分在</w:t>
            </w:r>
            <w:r>
              <w:rPr>
                <w:rFonts w:hint="eastAsia" w:asciiTheme="minorEastAsia" w:hAnsiTheme="minorEastAsia" w:eastAsiaTheme="minorEastAsia"/>
              </w:rPr>
              <w:t>5%</w:t>
            </w:r>
            <w:r>
              <w:rPr>
                <w:rFonts w:hint="eastAsia" w:asciiTheme="minorEastAsia" w:hAnsiTheme="minorEastAsia" w:eastAsiaTheme="minorEastAsia"/>
                <w:lang w:val="en-US" w:eastAsia="zh-CN"/>
              </w:rPr>
              <w:t>到10</w:t>
            </w:r>
            <w:r>
              <w:rPr>
                <w:rFonts w:hint="eastAsia" w:asciiTheme="minorEastAsia" w:hAnsiTheme="minorEastAsia" w:eastAsiaTheme="minorEastAsia"/>
              </w:rPr>
              <w:t>%</w:t>
            </w:r>
            <w:r>
              <w:rPr>
                <w:rFonts w:hint="eastAsia" w:asciiTheme="minorEastAsia" w:hAnsiTheme="minorEastAsia" w:eastAsiaTheme="minorEastAsia"/>
                <w:lang w:eastAsia="zh-CN"/>
              </w:rPr>
              <w:t>，</w:t>
            </w:r>
            <w:r>
              <w:rPr>
                <w:rFonts w:hint="eastAsia" w:asciiTheme="minorEastAsia" w:hAnsiTheme="minorEastAsia" w:eastAsiaTheme="minorEastAsia"/>
              </w:rPr>
              <w:t>甲方应对货物验收并通知乙方。</w:t>
            </w:r>
          </w:p>
          <w:p w14:paraId="05949087">
            <w:pPr>
              <w:spacing w:beforeLines="50" w:afterLines="50" w:line="360" w:lineRule="auto"/>
              <w:ind w:firstLine="33" w:firstLineChars="14"/>
              <w:rPr>
                <w:rFonts w:ascii="宋体" w:hAnsi="宋体" w:eastAsia="宋体"/>
              </w:rPr>
            </w:pPr>
            <w:r>
              <w:rPr>
                <w:rFonts w:hint="eastAsia" w:ascii="宋体" w:hAnsi="宋体" w:eastAsia="宋体"/>
              </w:rPr>
              <w:t>结算：</w:t>
            </w:r>
          </w:p>
          <w:p w14:paraId="42AEE32A">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当</w:t>
            </w:r>
            <w:r>
              <w:rPr>
                <w:rFonts w:hint="eastAsia" w:asciiTheme="minorEastAsia" w:hAnsiTheme="minorEastAsia" w:eastAsiaTheme="minorEastAsia"/>
                <w:lang w:val="en-US" w:eastAsia="zh-CN"/>
              </w:rPr>
              <w:t>8</w:t>
            </w:r>
            <w:r>
              <w:rPr>
                <w:rFonts w:hint="eastAsia" w:asciiTheme="minorEastAsia" w:hAnsiTheme="minorEastAsia" w:eastAsiaTheme="minorEastAsia"/>
              </w:rPr>
              <w:t>90 mg/g≤碘值＜</w:t>
            </w:r>
            <w:r>
              <w:rPr>
                <w:rFonts w:hint="eastAsia" w:asciiTheme="minorEastAsia" w:hAnsiTheme="minorEastAsia" w:eastAsiaTheme="minorEastAsia"/>
                <w:lang w:val="en-US" w:eastAsia="zh-CN"/>
              </w:rPr>
              <w:t>9</w:t>
            </w:r>
            <w:r>
              <w:rPr>
                <w:rFonts w:hint="eastAsia" w:asciiTheme="minorEastAsia" w:hAnsiTheme="minorEastAsia" w:eastAsiaTheme="minorEastAsia"/>
              </w:rPr>
              <w:t>00 mg/g之间，该车次产品单价下调2%，当</w:t>
            </w:r>
            <w:r>
              <w:rPr>
                <w:rFonts w:hint="eastAsia" w:asciiTheme="minorEastAsia" w:hAnsiTheme="minorEastAsia" w:eastAsiaTheme="minorEastAsia"/>
                <w:lang w:val="en-US" w:eastAsia="zh-CN"/>
              </w:rPr>
              <w:t>8</w:t>
            </w:r>
            <w:r>
              <w:rPr>
                <w:rFonts w:hint="eastAsia" w:asciiTheme="minorEastAsia" w:hAnsiTheme="minorEastAsia" w:eastAsiaTheme="minorEastAsia"/>
              </w:rPr>
              <w:t>80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90 mg/g之间，该车次产品单价下调4%，当</w:t>
            </w:r>
            <w:r>
              <w:rPr>
                <w:rFonts w:hint="eastAsia" w:asciiTheme="minorEastAsia" w:hAnsiTheme="minorEastAsia" w:eastAsiaTheme="minorEastAsia"/>
                <w:lang w:val="en-US" w:eastAsia="zh-CN"/>
              </w:rPr>
              <w:t>8</w:t>
            </w:r>
            <w:r>
              <w:rPr>
                <w:rFonts w:hint="eastAsia" w:asciiTheme="minorEastAsia" w:hAnsiTheme="minorEastAsia" w:eastAsiaTheme="minorEastAsia"/>
              </w:rPr>
              <w:t>70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80 mg/g之间，该车次产品单价下调6%，当</w:t>
            </w:r>
            <w:r>
              <w:rPr>
                <w:rFonts w:hint="eastAsia" w:asciiTheme="minorEastAsia" w:hAnsiTheme="minorEastAsia" w:eastAsiaTheme="minorEastAsia"/>
                <w:lang w:val="en-US" w:eastAsia="zh-CN"/>
              </w:rPr>
              <w:t>8</w:t>
            </w:r>
            <w:r>
              <w:rPr>
                <w:rFonts w:hint="eastAsia" w:asciiTheme="minorEastAsia" w:hAnsiTheme="minorEastAsia" w:eastAsiaTheme="minorEastAsia"/>
              </w:rPr>
              <w:t>60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70 mg/g之间，该车次产品单价下调8%。</w:t>
            </w:r>
          </w:p>
          <w:p w14:paraId="7E23E1D4">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90%≤200目过筛率≤95%，在此之间过筛率每下降1%，该车次产品单价按合同单价下调2个点</w:t>
            </w:r>
          </w:p>
          <w:p w14:paraId="236C3799">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水分在5%＜碘值≤10%之间，在此区间水分每下降1%，该车次产品单价按合同单价下调2个点。</w:t>
            </w:r>
          </w:p>
          <w:p w14:paraId="16E16905">
            <w:pPr>
              <w:spacing w:beforeLines="50" w:afterLines="50" w:line="360" w:lineRule="auto"/>
              <w:ind w:firstLine="33" w:firstLineChars="14"/>
              <w:rPr>
                <w:rFonts w:ascii="宋体" w:hAnsi="宋体" w:eastAsia="宋体"/>
              </w:rPr>
            </w:pPr>
            <w:r>
              <w:rPr>
                <w:rFonts w:hint="eastAsia" w:ascii="宋体" w:hAnsi="宋体" w:eastAsia="宋体"/>
              </w:rPr>
              <w:t>如出现多项指标不达标，结算扣除价格进行累加计算，直至结算单价为零，实际款项甲方可在每月结算时直接扣除。如乙方对甲方实验室的化验结果有异议，可申请第三方检测，检测费由乙方负责，最终结果以第三方检测结果为准。</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3、不予验收：不予验收（不合格、不结算、退货）：当活性炭碘值小于860 mg/g、水分大于10%、200目过筛率小于90%，当以上记几项检测数值有一项不符合，产品皆为不合格产品，该车次不予验收结算并退货要求重新送货，甲方扣除乙方该车次货款总额的1%，一年之内产品累计超过三次，甲方有权解除合同。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4"/>
    <w:bookmarkEnd w:id="5"/>
    <w:bookmarkEnd w:id="6"/>
    <w:bookmarkEnd w:id="7"/>
    <w:bookmarkEnd w:id="8"/>
    <w:bookmarkEnd w:id="9"/>
    <w:bookmarkEnd w:id="10"/>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3" w:name="_Toc91073208"/>
      <w:r>
        <w:rPr>
          <w:rFonts w:hint="eastAsia" w:ascii="宋体" w:hAnsi="宋体" w:eastAsia="宋体"/>
          <w:b w:val="0"/>
          <w:color w:val="000000"/>
          <w:sz w:val="32"/>
          <w:szCs w:val="32"/>
        </w:rPr>
        <w:t>三 投标文件格式</w:t>
      </w:r>
      <w:bookmarkEnd w:id="13"/>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吴川垃圾发电项目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粉状煤质活性炭</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LK-ZJLK-ZB-JC2026-002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bookmarkStart w:id="14" w:name="_Toc456799797"/>
      <w:bookmarkStart w:id="15" w:name="_Toc456800244"/>
      <w:bookmarkStart w:id="16" w:name="_Toc456799949"/>
      <w:bookmarkStart w:id="17" w:name="_Toc456800087"/>
      <w:bookmarkStart w:id="18" w:name="_Toc456799689"/>
      <w:bookmarkStart w:id="19" w:name="_Toc456800168"/>
      <w:bookmarkStart w:id="20" w:name="_Toc456800138"/>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4"/>
      <w:bookmarkEnd w:id="15"/>
      <w:bookmarkEnd w:id="16"/>
      <w:bookmarkEnd w:id="17"/>
      <w:bookmarkEnd w:id="18"/>
      <w:bookmarkEnd w:id="19"/>
      <w:bookmarkEnd w:id="20"/>
      <w:bookmarkStart w:id="21" w:name="_Toc176085638"/>
      <w:bookmarkStart w:id="22" w:name="_Toc174521069"/>
    </w:p>
    <w:p w14:paraId="61C01CC6">
      <w:pPr>
        <w:tabs>
          <w:tab w:val="left" w:pos="3906"/>
        </w:tabs>
        <w:spacing w:before="120" w:beforeLines="50" w:after="120" w:afterLines="50"/>
        <w:outlineLvl w:val="1"/>
        <w:rPr>
          <w:rFonts w:ascii="宋体" w:hAnsi="宋体" w:eastAsia="宋体"/>
          <w:szCs w:val="24"/>
        </w:rPr>
      </w:pPr>
      <w:bookmarkStart w:id="23" w:name="_Toc456800088"/>
      <w:bookmarkStart w:id="24" w:name="_Toc456799950"/>
      <w:bookmarkStart w:id="25" w:name="_Toc456800245"/>
      <w:bookmarkStart w:id="26" w:name="_Toc456800169"/>
      <w:bookmarkStart w:id="27" w:name="_Toc91073209"/>
      <w:bookmarkStart w:id="28" w:name="_Toc456799690"/>
      <w:bookmarkStart w:id="29" w:name="_Toc456799798"/>
      <w:bookmarkStart w:id="30" w:name="_Toc45680013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1"/>
      <w:bookmarkEnd w:id="22"/>
      <w:bookmarkEnd w:id="23"/>
      <w:bookmarkEnd w:id="24"/>
      <w:bookmarkEnd w:id="25"/>
      <w:bookmarkEnd w:id="26"/>
      <w:bookmarkEnd w:id="27"/>
      <w:bookmarkEnd w:id="28"/>
      <w:bookmarkEnd w:id="29"/>
      <w:bookmarkEnd w:id="30"/>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1" w:name="_Toc176085639"/>
      <w:bookmarkStart w:id="32" w:name="_Toc174521070"/>
      <w:bookmarkStart w:id="33" w:name="_Toc456800089"/>
      <w:bookmarkStart w:id="34" w:name="_Toc456800140"/>
      <w:bookmarkStart w:id="35" w:name="_Toc456799691"/>
      <w:bookmarkStart w:id="36" w:name="_Toc456800170"/>
      <w:bookmarkStart w:id="37" w:name="_Toc456799951"/>
      <w:bookmarkStart w:id="38" w:name="_Toc456799799"/>
      <w:bookmarkStart w:id="39" w:name="_Toc456800246"/>
      <w:bookmarkStart w:id="40" w:name="_Toc9107321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1"/>
      <w:bookmarkEnd w:id="32"/>
      <w:r>
        <w:rPr>
          <w:rFonts w:hint="eastAsia" w:ascii="宋体" w:hAnsi="宋体" w:eastAsia="宋体"/>
          <w:szCs w:val="24"/>
        </w:rPr>
        <w:t>报价格式</w:t>
      </w:r>
      <w:bookmarkEnd w:id="33"/>
      <w:bookmarkEnd w:id="34"/>
      <w:bookmarkEnd w:id="35"/>
      <w:bookmarkEnd w:id="36"/>
      <w:bookmarkEnd w:id="37"/>
      <w:bookmarkEnd w:id="38"/>
      <w:bookmarkEnd w:id="39"/>
      <w:bookmarkEnd w:id="40"/>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1" w:name="_Toc176085641"/>
      <w:bookmarkStart w:id="42"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41"/>
      <w:bookmarkEnd w:id="42"/>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3" w:name="_Toc174521074"/>
      <w:bookmarkStart w:id="44" w:name="_Toc176085643"/>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3"/>
      <w:bookmarkEnd w:id="44"/>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5" w:name="_Toc174521075"/>
      <w:bookmarkStart w:id="46" w:name="_Toc176085644"/>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5"/>
      <w:bookmarkEnd w:id="46"/>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7" w:name="_Toc174521076"/>
      <w:bookmarkStart w:id="48" w:name="_Toc176085645"/>
      <w:bookmarkStart w:id="49" w:name="_Toc456799695"/>
      <w:bookmarkStart w:id="50" w:name="_Toc456799803"/>
      <w:bookmarkStart w:id="51" w:name="_Toc45679995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7"/>
      <w:bookmarkEnd w:id="48"/>
    </w:p>
    <w:p w14:paraId="5F877C7C">
      <w:pPr>
        <w:suppressAutoHyphens/>
        <w:spacing w:line="360" w:lineRule="auto"/>
        <w:jc w:val="center"/>
        <w:rPr>
          <w:rFonts w:ascii="宋体" w:hAnsi="宋体" w:eastAsia="宋体"/>
          <w:color w:val="000000"/>
          <w:szCs w:val="24"/>
        </w:rPr>
      </w:pPr>
      <w:bookmarkStart w:id="52" w:name="_Toc456800171"/>
      <w:bookmarkStart w:id="53" w:name="_Toc456800141"/>
      <w:bookmarkStart w:id="54" w:name="_Toc456799692"/>
      <w:bookmarkStart w:id="55" w:name="_Toc456799800"/>
      <w:bookmarkStart w:id="56" w:name="_Toc456800090"/>
      <w:bookmarkStart w:id="57" w:name="_Toc456799952"/>
      <w:r>
        <w:rPr>
          <w:rFonts w:hint="eastAsia" w:ascii="宋体" w:hAnsi="宋体" w:eastAsia="宋体"/>
          <w:color w:val="000000"/>
          <w:szCs w:val="24"/>
        </w:rPr>
        <w:t>投标函</w:t>
      </w:r>
      <w:bookmarkEnd w:id="52"/>
      <w:bookmarkEnd w:id="53"/>
      <w:bookmarkEnd w:id="54"/>
      <w:bookmarkEnd w:id="55"/>
      <w:bookmarkEnd w:id="56"/>
      <w:bookmarkEnd w:id="57"/>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8" w:name="_Toc456799953"/>
      <w:bookmarkStart w:id="59" w:name="_Toc456799801"/>
      <w:bookmarkStart w:id="60" w:name="_Toc456799693"/>
      <w:bookmarkStart w:id="61" w:name="_Toc45680009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8"/>
      <w:bookmarkEnd w:id="59"/>
      <w:bookmarkEnd w:id="60"/>
      <w:bookmarkEnd w:id="61"/>
    </w:p>
    <w:p w14:paraId="5E10E18C">
      <w:pPr>
        <w:spacing w:line="360" w:lineRule="auto"/>
        <w:ind w:firstLine="525"/>
        <w:jc w:val="center"/>
        <w:rPr>
          <w:rFonts w:ascii="宋体" w:hAnsi="宋体" w:eastAsia="宋体"/>
          <w:color w:val="000000"/>
          <w:szCs w:val="24"/>
        </w:rPr>
      </w:pPr>
      <w:bookmarkStart w:id="62" w:name="_Toc456799954"/>
      <w:bookmarkStart w:id="63" w:name="_Toc456800247"/>
      <w:bookmarkStart w:id="64" w:name="_Toc456800172"/>
      <w:bookmarkStart w:id="65" w:name="_Toc456800092"/>
      <w:bookmarkStart w:id="66" w:name="_Toc456799694"/>
      <w:bookmarkStart w:id="67" w:name="_Toc456800142"/>
      <w:bookmarkStart w:id="68" w:name="_Toc456799802"/>
      <w:r>
        <w:rPr>
          <w:rFonts w:hint="eastAsia" w:ascii="宋体" w:hAnsi="宋体" w:eastAsia="宋体"/>
          <w:color w:val="000000"/>
          <w:szCs w:val="24"/>
        </w:rPr>
        <w:t>法定代表人授权书</w:t>
      </w:r>
      <w:bookmarkEnd w:id="62"/>
      <w:bookmarkEnd w:id="63"/>
      <w:bookmarkEnd w:id="64"/>
      <w:bookmarkEnd w:id="65"/>
      <w:bookmarkEnd w:id="66"/>
      <w:bookmarkEnd w:id="67"/>
      <w:bookmarkEnd w:id="68"/>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吴川垃圾发电项目</w:t>
      </w:r>
      <w:r>
        <w:rPr>
          <w:rFonts w:hint="eastAsia" w:ascii="宋体" w:hAnsi="宋体" w:eastAsia="宋体"/>
          <w:szCs w:val="24"/>
        </w:rPr>
        <w:t>的</w:t>
      </w:r>
      <w:r>
        <w:rPr>
          <w:rFonts w:hint="eastAsia" w:ascii="宋体" w:hAnsi="宋体" w:eastAsia="宋体"/>
          <w:szCs w:val="24"/>
          <w:u w:val="single"/>
          <w:lang w:eastAsia="zh-CN"/>
        </w:rPr>
        <w:t>粉状煤质活性炭</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吴川垃圾发电项目</w:t>
      </w:r>
      <w:r>
        <w:rPr>
          <w:rFonts w:hint="eastAsia" w:ascii="宋体" w:hAnsi="宋体" w:eastAsia="宋体"/>
          <w:szCs w:val="24"/>
        </w:rPr>
        <w:t>的</w:t>
      </w:r>
      <w:r>
        <w:rPr>
          <w:rFonts w:hint="eastAsia" w:ascii="宋体" w:hAnsi="宋体" w:eastAsia="宋体"/>
          <w:szCs w:val="24"/>
          <w:u w:val="single"/>
          <w:lang w:eastAsia="zh-CN"/>
        </w:rPr>
        <w:t>粉状煤质活性炭</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9"/>
      <w:bookmarkEnd w:id="50"/>
      <w:bookmarkEnd w:id="51"/>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粉状煤质活性炭</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180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hint="default" w:ascii="宋体" w:hAnsi="宋体" w:eastAsia="宋体"/>
                <w:color w:val="000000"/>
                <w:szCs w:val="24"/>
                <w:lang w:val="en-US" w:eastAsia="zh-CN"/>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为乙方负责槽罐车运输和卸货。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9" w:name="_Toc176085647"/>
      <w:bookmarkStart w:id="70" w:name="_Toc174521078"/>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9"/>
      <w:bookmarkEnd w:id="70"/>
    </w:p>
    <w:tbl>
      <w:tblPr>
        <w:tblStyle w:val="4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140"/>
        <w:gridCol w:w="1783"/>
        <w:gridCol w:w="628"/>
        <w:gridCol w:w="1153"/>
        <w:gridCol w:w="1148"/>
        <w:gridCol w:w="1373"/>
        <w:gridCol w:w="1176"/>
      </w:tblGrid>
      <w:tr w14:paraId="0C5B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479" w:type="pct"/>
            <w:vAlign w:val="center"/>
          </w:tcPr>
          <w:p w14:paraId="063FC6C5">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材料名称</w:t>
            </w:r>
          </w:p>
        </w:tc>
        <w:tc>
          <w:tcPr>
            <w:tcW w:w="1586" w:type="pct"/>
            <w:gridSpan w:val="2"/>
            <w:vAlign w:val="center"/>
          </w:tcPr>
          <w:p w14:paraId="127683F2">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规格型号、技术要求</w:t>
            </w:r>
          </w:p>
        </w:tc>
        <w:tc>
          <w:tcPr>
            <w:tcW w:w="344" w:type="pct"/>
            <w:vAlign w:val="center"/>
          </w:tcPr>
          <w:p w14:paraId="2B4C0E6C">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单位</w:t>
            </w:r>
          </w:p>
        </w:tc>
        <w:tc>
          <w:tcPr>
            <w:tcW w:w="627" w:type="pct"/>
            <w:vAlign w:val="center"/>
          </w:tcPr>
          <w:p w14:paraId="668F0D90">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暂定数量</w:t>
            </w:r>
          </w:p>
        </w:tc>
        <w:tc>
          <w:tcPr>
            <w:tcW w:w="624" w:type="pct"/>
            <w:vAlign w:val="center"/>
          </w:tcPr>
          <w:p w14:paraId="19650237">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单价（元）</w:t>
            </w:r>
          </w:p>
        </w:tc>
        <w:tc>
          <w:tcPr>
            <w:tcW w:w="745" w:type="pct"/>
          </w:tcPr>
          <w:p w14:paraId="4F2740F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总价（元）</w:t>
            </w:r>
          </w:p>
        </w:tc>
        <w:tc>
          <w:tcPr>
            <w:tcW w:w="592" w:type="pct"/>
            <w:vAlign w:val="center"/>
          </w:tcPr>
          <w:p w14:paraId="2FCF77D2">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 xml:space="preserve">备注  </w:t>
            </w:r>
          </w:p>
        </w:tc>
      </w:tr>
      <w:tr w14:paraId="35F4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restart"/>
            <w:vAlign w:val="center"/>
          </w:tcPr>
          <w:p w14:paraId="153B0308">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粉状煤质活性炭（蒸汽活化）</w:t>
            </w:r>
          </w:p>
        </w:tc>
        <w:tc>
          <w:tcPr>
            <w:tcW w:w="620" w:type="pct"/>
            <w:vAlign w:val="center"/>
          </w:tcPr>
          <w:p w14:paraId="6B77750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指标</w:t>
            </w:r>
          </w:p>
        </w:tc>
        <w:tc>
          <w:tcPr>
            <w:tcW w:w="966" w:type="pct"/>
            <w:vAlign w:val="center"/>
          </w:tcPr>
          <w:p w14:paraId="2C68536B">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参考值</w:t>
            </w:r>
          </w:p>
        </w:tc>
        <w:tc>
          <w:tcPr>
            <w:tcW w:w="344" w:type="pct"/>
            <w:vMerge w:val="restart"/>
            <w:vAlign w:val="center"/>
          </w:tcPr>
          <w:p w14:paraId="2B78674D">
            <w:pPr>
              <w:pStyle w:val="14"/>
              <w:jc w:val="center"/>
            </w:pPr>
            <w:r>
              <w:rPr>
                <w:rFonts w:hint="eastAsia"/>
              </w:rPr>
              <w:t>吨</w:t>
            </w:r>
          </w:p>
        </w:tc>
        <w:tc>
          <w:tcPr>
            <w:tcW w:w="627" w:type="pct"/>
            <w:vMerge w:val="restart"/>
            <w:vAlign w:val="center"/>
          </w:tcPr>
          <w:p w14:paraId="657AABC3">
            <w:pPr>
              <w:pStyle w:val="14"/>
              <w:jc w:val="center"/>
              <w:rPr>
                <w:rFonts w:hint="default" w:eastAsia="宋体"/>
                <w:lang w:val="en-US" w:eastAsia="zh-CN"/>
              </w:rPr>
            </w:pPr>
            <w:r>
              <w:rPr>
                <w:rFonts w:hint="eastAsia"/>
                <w:lang w:val="en-US" w:eastAsia="zh-CN"/>
              </w:rPr>
              <w:t>180</w:t>
            </w:r>
          </w:p>
        </w:tc>
        <w:tc>
          <w:tcPr>
            <w:tcW w:w="624" w:type="pct"/>
            <w:vMerge w:val="restart"/>
            <w:vAlign w:val="center"/>
          </w:tcPr>
          <w:p w14:paraId="4D0948B9">
            <w:pPr>
              <w:pStyle w:val="14"/>
            </w:pPr>
          </w:p>
        </w:tc>
        <w:tc>
          <w:tcPr>
            <w:tcW w:w="745" w:type="pct"/>
            <w:vMerge w:val="restart"/>
            <w:vAlign w:val="center"/>
          </w:tcPr>
          <w:p w14:paraId="7598B59D">
            <w:pPr>
              <w:pStyle w:val="14"/>
            </w:pPr>
          </w:p>
        </w:tc>
        <w:tc>
          <w:tcPr>
            <w:tcW w:w="592" w:type="pct"/>
            <w:vMerge w:val="restart"/>
            <w:vAlign w:val="center"/>
          </w:tcPr>
          <w:p w14:paraId="411F21D2">
            <w:pPr>
              <w:pStyle w:val="14"/>
              <w:rPr>
                <w:rFonts w:hint="eastAsia" w:eastAsia="宋体"/>
                <w:lang w:val="en-US" w:eastAsia="zh-CN"/>
              </w:rPr>
            </w:pPr>
            <w:r>
              <w:rPr>
                <w:rFonts w:hint="eastAsia" w:ascii="宋体" w:hAnsi="宋体"/>
                <w:szCs w:val="21"/>
              </w:rPr>
              <w:t>GB/T7702 《煤质颗粒活性炭试验方法》</w:t>
            </w:r>
            <w:r>
              <w:rPr>
                <w:rFonts w:hint="eastAsia" w:ascii="宋体" w:hAnsi="宋体"/>
                <w:szCs w:val="21"/>
                <w:lang w:val="en-US" w:eastAsia="zh-CN"/>
              </w:rPr>
              <w:t>检测</w:t>
            </w:r>
          </w:p>
        </w:tc>
      </w:tr>
      <w:tr w14:paraId="1387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7947C48B">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0120C99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碘吸附值</w:t>
            </w:r>
          </w:p>
        </w:tc>
        <w:tc>
          <w:tcPr>
            <w:tcW w:w="966" w:type="pct"/>
            <w:vAlign w:val="center"/>
          </w:tcPr>
          <w:p w14:paraId="5B35D4B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≥900 mg/g</w:t>
            </w:r>
          </w:p>
        </w:tc>
        <w:tc>
          <w:tcPr>
            <w:tcW w:w="344" w:type="pct"/>
            <w:vMerge w:val="continue"/>
            <w:vAlign w:val="center"/>
          </w:tcPr>
          <w:p w14:paraId="274A4930">
            <w:pPr>
              <w:pStyle w:val="14"/>
              <w:jc w:val="center"/>
            </w:pPr>
          </w:p>
        </w:tc>
        <w:tc>
          <w:tcPr>
            <w:tcW w:w="627" w:type="pct"/>
            <w:vMerge w:val="continue"/>
            <w:vAlign w:val="center"/>
          </w:tcPr>
          <w:p w14:paraId="19433A48">
            <w:pPr>
              <w:pStyle w:val="14"/>
              <w:jc w:val="center"/>
            </w:pPr>
          </w:p>
        </w:tc>
        <w:tc>
          <w:tcPr>
            <w:tcW w:w="624" w:type="pct"/>
            <w:vMerge w:val="continue"/>
          </w:tcPr>
          <w:p w14:paraId="13E6D577">
            <w:pPr>
              <w:pStyle w:val="14"/>
              <w:jc w:val="center"/>
            </w:pPr>
          </w:p>
        </w:tc>
        <w:tc>
          <w:tcPr>
            <w:tcW w:w="745" w:type="pct"/>
            <w:vMerge w:val="continue"/>
          </w:tcPr>
          <w:p w14:paraId="4DBF2D1C">
            <w:pPr>
              <w:pStyle w:val="14"/>
              <w:jc w:val="center"/>
            </w:pPr>
          </w:p>
        </w:tc>
        <w:tc>
          <w:tcPr>
            <w:tcW w:w="592" w:type="pct"/>
            <w:vMerge w:val="continue"/>
            <w:vAlign w:val="center"/>
          </w:tcPr>
          <w:p w14:paraId="4006FF78">
            <w:pPr>
              <w:pStyle w:val="14"/>
              <w:jc w:val="center"/>
            </w:pPr>
          </w:p>
        </w:tc>
      </w:tr>
      <w:tr w14:paraId="1814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79" w:type="pct"/>
            <w:vMerge w:val="continue"/>
            <w:vAlign w:val="center"/>
          </w:tcPr>
          <w:p w14:paraId="7683DAA0">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042D9D4D">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比表面积（BET）</w:t>
            </w:r>
          </w:p>
        </w:tc>
        <w:tc>
          <w:tcPr>
            <w:tcW w:w="966" w:type="pct"/>
            <w:vAlign w:val="center"/>
          </w:tcPr>
          <w:p w14:paraId="0C56D065">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≥900 ㎡/g</w:t>
            </w:r>
          </w:p>
        </w:tc>
        <w:tc>
          <w:tcPr>
            <w:tcW w:w="344" w:type="pct"/>
            <w:vMerge w:val="continue"/>
            <w:vAlign w:val="center"/>
          </w:tcPr>
          <w:p w14:paraId="74E69EA6">
            <w:pPr>
              <w:pStyle w:val="14"/>
              <w:jc w:val="center"/>
            </w:pPr>
          </w:p>
        </w:tc>
        <w:tc>
          <w:tcPr>
            <w:tcW w:w="627" w:type="pct"/>
            <w:vMerge w:val="continue"/>
            <w:vAlign w:val="center"/>
          </w:tcPr>
          <w:p w14:paraId="167ED235">
            <w:pPr>
              <w:pStyle w:val="14"/>
              <w:jc w:val="center"/>
            </w:pPr>
          </w:p>
        </w:tc>
        <w:tc>
          <w:tcPr>
            <w:tcW w:w="624" w:type="pct"/>
            <w:vMerge w:val="continue"/>
          </w:tcPr>
          <w:p w14:paraId="23508B96">
            <w:pPr>
              <w:pStyle w:val="14"/>
              <w:jc w:val="center"/>
            </w:pPr>
          </w:p>
        </w:tc>
        <w:tc>
          <w:tcPr>
            <w:tcW w:w="745" w:type="pct"/>
            <w:vMerge w:val="continue"/>
          </w:tcPr>
          <w:p w14:paraId="15351D75">
            <w:pPr>
              <w:pStyle w:val="14"/>
              <w:jc w:val="center"/>
            </w:pPr>
          </w:p>
        </w:tc>
        <w:tc>
          <w:tcPr>
            <w:tcW w:w="592" w:type="pct"/>
            <w:vMerge w:val="continue"/>
            <w:vAlign w:val="center"/>
          </w:tcPr>
          <w:p w14:paraId="782876A2">
            <w:pPr>
              <w:pStyle w:val="14"/>
              <w:jc w:val="center"/>
            </w:pPr>
          </w:p>
        </w:tc>
      </w:tr>
      <w:tr w14:paraId="24F6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79" w:type="pct"/>
            <w:vMerge w:val="continue"/>
            <w:vAlign w:val="center"/>
          </w:tcPr>
          <w:p w14:paraId="56E4E400">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457E02A9">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灰分</w:t>
            </w:r>
          </w:p>
        </w:tc>
        <w:tc>
          <w:tcPr>
            <w:tcW w:w="966" w:type="pct"/>
            <w:vAlign w:val="center"/>
          </w:tcPr>
          <w:p w14:paraId="296462E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≤15%</w:t>
            </w:r>
          </w:p>
        </w:tc>
        <w:tc>
          <w:tcPr>
            <w:tcW w:w="344" w:type="pct"/>
            <w:vMerge w:val="continue"/>
            <w:vAlign w:val="center"/>
          </w:tcPr>
          <w:p w14:paraId="246B19D0">
            <w:pPr>
              <w:pStyle w:val="14"/>
              <w:jc w:val="center"/>
            </w:pPr>
          </w:p>
        </w:tc>
        <w:tc>
          <w:tcPr>
            <w:tcW w:w="627" w:type="pct"/>
            <w:vMerge w:val="continue"/>
            <w:vAlign w:val="center"/>
          </w:tcPr>
          <w:p w14:paraId="4F9ABC69">
            <w:pPr>
              <w:pStyle w:val="14"/>
              <w:jc w:val="center"/>
            </w:pPr>
          </w:p>
        </w:tc>
        <w:tc>
          <w:tcPr>
            <w:tcW w:w="624" w:type="pct"/>
            <w:vMerge w:val="continue"/>
          </w:tcPr>
          <w:p w14:paraId="718AF065">
            <w:pPr>
              <w:pStyle w:val="14"/>
              <w:jc w:val="center"/>
            </w:pPr>
          </w:p>
        </w:tc>
        <w:tc>
          <w:tcPr>
            <w:tcW w:w="745" w:type="pct"/>
            <w:vMerge w:val="continue"/>
          </w:tcPr>
          <w:p w14:paraId="1A5C1491">
            <w:pPr>
              <w:pStyle w:val="14"/>
              <w:jc w:val="center"/>
            </w:pPr>
          </w:p>
        </w:tc>
        <w:tc>
          <w:tcPr>
            <w:tcW w:w="592" w:type="pct"/>
            <w:vMerge w:val="continue"/>
            <w:vAlign w:val="center"/>
          </w:tcPr>
          <w:p w14:paraId="14BB2F1B">
            <w:pPr>
              <w:pStyle w:val="14"/>
              <w:jc w:val="center"/>
            </w:pPr>
          </w:p>
        </w:tc>
      </w:tr>
      <w:tr w14:paraId="39F2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33218D2F">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73ACF55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水分</w:t>
            </w:r>
          </w:p>
        </w:tc>
        <w:tc>
          <w:tcPr>
            <w:tcW w:w="966" w:type="pct"/>
            <w:vAlign w:val="center"/>
          </w:tcPr>
          <w:p w14:paraId="7923C21E">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≤5%</w:t>
            </w:r>
          </w:p>
        </w:tc>
        <w:tc>
          <w:tcPr>
            <w:tcW w:w="344" w:type="pct"/>
            <w:vMerge w:val="continue"/>
            <w:vAlign w:val="center"/>
          </w:tcPr>
          <w:p w14:paraId="74DBD3E1">
            <w:pPr>
              <w:pStyle w:val="14"/>
              <w:jc w:val="center"/>
            </w:pPr>
          </w:p>
        </w:tc>
        <w:tc>
          <w:tcPr>
            <w:tcW w:w="627" w:type="pct"/>
            <w:vMerge w:val="continue"/>
            <w:vAlign w:val="center"/>
          </w:tcPr>
          <w:p w14:paraId="0EA3A482">
            <w:pPr>
              <w:pStyle w:val="14"/>
              <w:jc w:val="center"/>
            </w:pPr>
          </w:p>
        </w:tc>
        <w:tc>
          <w:tcPr>
            <w:tcW w:w="624" w:type="pct"/>
            <w:vMerge w:val="continue"/>
          </w:tcPr>
          <w:p w14:paraId="4AA2BC53">
            <w:pPr>
              <w:pStyle w:val="14"/>
              <w:jc w:val="center"/>
            </w:pPr>
          </w:p>
        </w:tc>
        <w:tc>
          <w:tcPr>
            <w:tcW w:w="745" w:type="pct"/>
            <w:vMerge w:val="continue"/>
          </w:tcPr>
          <w:p w14:paraId="2943CBFA">
            <w:pPr>
              <w:pStyle w:val="14"/>
              <w:jc w:val="center"/>
            </w:pPr>
          </w:p>
        </w:tc>
        <w:tc>
          <w:tcPr>
            <w:tcW w:w="592" w:type="pct"/>
            <w:vMerge w:val="continue"/>
            <w:vAlign w:val="center"/>
          </w:tcPr>
          <w:p w14:paraId="1FA0D461">
            <w:pPr>
              <w:pStyle w:val="14"/>
              <w:jc w:val="center"/>
            </w:pPr>
          </w:p>
        </w:tc>
      </w:tr>
      <w:tr w14:paraId="7DBE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79" w:type="pct"/>
            <w:vMerge w:val="continue"/>
            <w:vAlign w:val="center"/>
          </w:tcPr>
          <w:p w14:paraId="3DE3C4CE">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290C1CD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细度</w:t>
            </w:r>
          </w:p>
        </w:tc>
        <w:tc>
          <w:tcPr>
            <w:tcW w:w="966" w:type="pct"/>
            <w:vAlign w:val="center"/>
          </w:tcPr>
          <w:p w14:paraId="75E7F4E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200目过筛≥ 95%</w:t>
            </w:r>
          </w:p>
        </w:tc>
        <w:tc>
          <w:tcPr>
            <w:tcW w:w="344" w:type="pct"/>
            <w:vMerge w:val="continue"/>
            <w:vAlign w:val="center"/>
          </w:tcPr>
          <w:p w14:paraId="03A241A8">
            <w:pPr>
              <w:pStyle w:val="14"/>
              <w:jc w:val="center"/>
            </w:pPr>
          </w:p>
        </w:tc>
        <w:tc>
          <w:tcPr>
            <w:tcW w:w="627" w:type="pct"/>
            <w:vMerge w:val="continue"/>
            <w:vAlign w:val="center"/>
          </w:tcPr>
          <w:p w14:paraId="564108A9">
            <w:pPr>
              <w:pStyle w:val="14"/>
              <w:jc w:val="center"/>
            </w:pPr>
          </w:p>
        </w:tc>
        <w:tc>
          <w:tcPr>
            <w:tcW w:w="624" w:type="pct"/>
            <w:vMerge w:val="continue"/>
          </w:tcPr>
          <w:p w14:paraId="2E2BA102">
            <w:pPr>
              <w:pStyle w:val="14"/>
              <w:jc w:val="center"/>
            </w:pPr>
          </w:p>
        </w:tc>
        <w:tc>
          <w:tcPr>
            <w:tcW w:w="745" w:type="pct"/>
            <w:vMerge w:val="continue"/>
          </w:tcPr>
          <w:p w14:paraId="5464385D">
            <w:pPr>
              <w:pStyle w:val="14"/>
              <w:jc w:val="center"/>
            </w:pPr>
          </w:p>
        </w:tc>
        <w:tc>
          <w:tcPr>
            <w:tcW w:w="592" w:type="pct"/>
            <w:vMerge w:val="continue"/>
            <w:vAlign w:val="center"/>
          </w:tcPr>
          <w:p w14:paraId="55F07FBF">
            <w:pPr>
              <w:pStyle w:val="14"/>
              <w:jc w:val="center"/>
            </w:pPr>
          </w:p>
        </w:tc>
      </w:tr>
      <w:tr w14:paraId="177A5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4ABCDD9C">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4705F6A9">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PH</w:t>
            </w:r>
          </w:p>
        </w:tc>
        <w:tc>
          <w:tcPr>
            <w:tcW w:w="966" w:type="pct"/>
            <w:vAlign w:val="center"/>
          </w:tcPr>
          <w:p w14:paraId="5EB326C1">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6-10</w:t>
            </w:r>
          </w:p>
        </w:tc>
        <w:tc>
          <w:tcPr>
            <w:tcW w:w="344" w:type="pct"/>
            <w:vMerge w:val="continue"/>
            <w:vAlign w:val="center"/>
          </w:tcPr>
          <w:p w14:paraId="523C4C16">
            <w:pPr>
              <w:pStyle w:val="14"/>
              <w:jc w:val="center"/>
            </w:pPr>
          </w:p>
        </w:tc>
        <w:tc>
          <w:tcPr>
            <w:tcW w:w="627" w:type="pct"/>
            <w:vMerge w:val="continue"/>
            <w:vAlign w:val="center"/>
          </w:tcPr>
          <w:p w14:paraId="39F137BC">
            <w:pPr>
              <w:pStyle w:val="14"/>
              <w:jc w:val="center"/>
            </w:pPr>
          </w:p>
        </w:tc>
        <w:tc>
          <w:tcPr>
            <w:tcW w:w="624" w:type="pct"/>
            <w:vMerge w:val="continue"/>
          </w:tcPr>
          <w:p w14:paraId="256F84D8">
            <w:pPr>
              <w:pStyle w:val="14"/>
              <w:jc w:val="center"/>
            </w:pPr>
          </w:p>
        </w:tc>
        <w:tc>
          <w:tcPr>
            <w:tcW w:w="745" w:type="pct"/>
            <w:vMerge w:val="continue"/>
          </w:tcPr>
          <w:p w14:paraId="782025A6">
            <w:pPr>
              <w:pStyle w:val="14"/>
              <w:jc w:val="center"/>
            </w:pPr>
          </w:p>
        </w:tc>
        <w:tc>
          <w:tcPr>
            <w:tcW w:w="592" w:type="pct"/>
            <w:vMerge w:val="continue"/>
            <w:vAlign w:val="center"/>
          </w:tcPr>
          <w:p w14:paraId="5F59AE24">
            <w:pPr>
              <w:pStyle w:val="14"/>
              <w:jc w:val="center"/>
            </w:pPr>
          </w:p>
        </w:tc>
      </w:tr>
      <w:tr w14:paraId="776B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275A48A7">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36B24B06">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松袋密度</w:t>
            </w:r>
          </w:p>
        </w:tc>
        <w:tc>
          <w:tcPr>
            <w:tcW w:w="966" w:type="pct"/>
            <w:vAlign w:val="center"/>
          </w:tcPr>
          <w:p w14:paraId="53052A90">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400-500kg/m3</w:t>
            </w:r>
          </w:p>
        </w:tc>
        <w:tc>
          <w:tcPr>
            <w:tcW w:w="344" w:type="pct"/>
            <w:vMerge w:val="continue"/>
            <w:vAlign w:val="center"/>
          </w:tcPr>
          <w:p w14:paraId="37840696">
            <w:pPr>
              <w:pStyle w:val="14"/>
              <w:jc w:val="center"/>
            </w:pPr>
          </w:p>
        </w:tc>
        <w:tc>
          <w:tcPr>
            <w:tcW w:w="627" w:type="pct"/>
            <w:vMerge w:val="continue"/>
            <w:vAlign w:val="center"/>
          </w:tcPr>
          <w:p w14:paraId="0E25DCBE">
            <w:pPr>
              <w:pStyle w:val="14"/>
              <w:jc w:val="center"/>
            </w:pPr>
          </w:p>
        </w:tc>
        <w:tc>
          <w:tcPr>
            <w:tcW w:w="624" w:type="pct"/>
            <w:vMerge w:val="continue"/>
          </w:tcPr>
          <w:p w14:paraId="23B231D8">
            <w:pPr>
              <w:pStyle w:val="14"/>
              <w:jc w:val="center"/>
            </w:pPr>
          </w:p>
        </w:tc>
        <w:tc>
          <w:tcPr>
            <w:tcW w:w="745" w:type="pct"/>
            <w:vMerge w:val="continue"/>
          </w:tcPr>
          <w:p w14:paraId="3D6AA861">
            <w:pPr>
              <w:pStyle w:val="14"/>
              <w:jc w:val="center"/>
            </w:pPr>
          </w:p>
        </w:tc>
        <w:tc>
          <w:tcPr>
            <w:tcW w:w="592" w:type="pct"/>
            <w:vMerge w:val="continue"/>
            <w:vAlign w:val="center"/>
          </w:tcPr>
          <w:p w14:paraId="1DD85870">
            <w:pPr>
              <w:pStyle w:val="14"/>
              <w:jc w:val="center"/>
            </w:pPr>
          </w:p>
        </w:tc>
      </w:tr>
      <w:tr w14:paraId="488D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35866821">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50E79137">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四氯化炭吸附值</w:t>
            </w:r>
          </w:p>
        </w:tc>
        <w:tc>
          <w:tcPr>
            <w:tcW w:w="966" w:type="pct"/>
            <w:vAlign w:val="center"/>
          </w:tcPr>
          <w:p w14:paraId="1ED069EC">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＞60%</w:t>
            </w:r>
          </w:p>
        </w:tc>
        <w:tc>
          <w:tcPr>
            <w:tcW w:w="344" w:type="pct"/>
            <w:vMerge w:val="continue"/>
            <w:vAlign w:val="center"/>
          </w:tcPr>
          <w:p w14:paraId="78929900">
            <w:pPr>
              <w:pStyle w:val="14"/>
              <w:jc w:val="center"/>
            </w:pPr>
          </w:p>
        </w:tc>
        <w:tc>
          <w:tcPr>
            <w:tcW w:w="627" w:type="pct"/>
            <w:vMerge w:val="continue"/>
            <w:vAlign w:val="center"/>
          </w:tcPr>
          <w:p w14:paraId="77321B70">
            <w:pPr>
              <w:pStyle w:val="14"/>
              <w:jc w:val="center"/>
            </w:pPr>
          </w:p>
        </w:tc>
        <w:tc>
          <w:tcPr>
            <w:tcW w:w="624" w:type="pct"/>
            <w:vMerge w:val="continue"/>
          </w:tcPr>
          <w:p w14:paraId="7D2B4ABE">
            <w:pPr>
              <w:pStyle w:val="14"/>
              <w:jc w:val="center"/>
            </w:pPr>
          </w:p>
        </w:tc>
        <w:tc>
          <w:tcPr>
            <w:tcW w:w="745" w:type="pct"/>
            <w:vMerge w:val="continue"/>
          </w:tcPr>
          <w:p w14:paraId="3758229C">
            <w:pPr>
              <w:pStyle w:val="14"/>
              <w:jc w:val="center"/>
            </w:pPr>
          </w:p>
        </w:tc>
        <w:tc>
          <w:tcPr>
            <w:tcW w:w="592" w:type="pct"/>
            <w:vMerge w:val="continue"/>
            <w:vAlign w:val="center"/>
          </w:tcPr>
          <w:p w14:paraId="6334A0B1">
            <w:pPr>
              <w:pStyle w:val="14"/>
              <w:jc w:val="center"/>
            </w:pPr>
          </w:p>
        </w:tc>
      </w:tr>
    </w:tbl>
    <w:p w14:paraId="2D1C03A5">
      <w:pPr>
        <w:rPr>
          <w:rFonts w:hint="eastAsia"/>
          <w:b w:val="0"/>
          <w:bCs w:val="0"/>
        </w:rPr>
      </w:pPr>
    </w:p>
    <w:p w14:paraId="23E3D59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bCs/>
          <w:kern w:val="2"/>
          <w:sz w:val="21"/>
          <w:szCs w:val="21"/>
        </w:rPr>
        <w:t>每个月送货大概三次左右，每次5吨左右</w:t>
      </w:r>
      <w:r>
        <w:rPr>
          <w:rFonts w:hint="eastAsia" w:cs="Times New Roman" w:asciiTheme="minorHAnsi" w:hAnsiTheme="minorHAnsi" w:eastAsiaTheme="minorEastAsia"/>
          <w:b w:val="0"/>
          <w:bCs w:val="0"/>
          <w:kern w:val="2"/>
          <w:sz w:val="21"/>
          <w:szCs w:val="21"/>
        </w:rPr>
        <w:t>。</w:t>
      </w:r>
      <w:r>
        <w:rPr>
          <w:rFonts w:hint="eastAsia" w:cs="Times New Roman" w:asciiTheme="minorHAnsi" w:hAnsiTheme="minorHAnsi" w:eastAsiaTheme="minorEastAsia"/>
          <w:b/>
          <w:bCs/>
          <w:kern w:val="2"/>
          <w:sz w:val="21"/>
          <w:szCs w:val="21"/>
        </w:rPr>
        <w:t>乙方负责运输（槽罐车）和卸货</w:t>
      </w:r>
      <w:r>
        <w:rPr>
          <w:rFonts w:hint="eastAsia" w:cs="Times New Roman" w:asciiTheme="minorHAnsi" w:hAnsiTheme="minorHAnsi" w:eastAsiaTheme="minorEastAsia"/>
          <w:b w:val="0"/>
          <w:bCs w:val="0"/>
          <w:kern w:val="2"/>
          <w:sz w:val="21"/>
          <w:szCs w:val="21"/>
        </w:rPr>
        <w:t>、开具13%增值税专用发票。以上数量为暂定数量，具体数量以甲方实际运营所需来定，甲方会根据实际运行情况提前两天通知乙方送货并告知所送货的数量。</w:t>
      </w:r>
      <w:r>
        <w:rPr>
          <w:rFonts w:hint="eastAsia" w:cs="Times New Roman" w:asciiTheme="minorHAnsi" w:hAnsiTheme="minorHAnsi" w:eastAsiaTheme="minorEastAsia"/>
          <w:b w:val="0"/>
          <w:bCs w:val="0"/>
          <w:kern w:val="2"/>
          <w:sz w:val="21"/>
          <w:szCs w:val="21"/>
          <w:lang w:val="en-US" w:eastAsia="zh-CN"/>
        </w:rPr>
        <w:t>不能用再生煤炭作为原料。</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w:t>
      </w:r>
      <w:r>
        <w:rPr>
          <w:rFonts w:hint="eastAsia" w:cs="Times New Roman" w:asciiTheme="minorHAnsi" w:hAnsiTheme="minorHAnsi" w:eastAsiaTheme="minorEastAsia"/>
          <w:b/>
          <w:bCs/>
          <w:kern w:val="2"/>
          <w:sz w:val="21"/>
          <w:szCs w:val="21"/>
        </w:rPr>
        <w:t>每月21号统计上月21-本月20日实际交货的数量（经甲方验收合格），通知乙方开票、实际付款时间为甲方收到乙方发票后</w:t>
      </w:r>
      <w:r>
        <w:rPr>
          <w:rFonts w:hint="eastAsia" w:cs="Times New Roman" w:asciiTheme="minorHAnsi" w:hAnsiTheme="minorHAnsi" w:eastAsiaTheme="minorEastAsia"/>
          <w:b/>
          <w:bCs/>
          <w:kern w:val="2"/>
          <w:sz w:val="21"/>
          <w:szCs w:val="21"/>
          <w:lang w:val="en-US" w:eastAsia="zh-CN"/>
        </w:rPr>
        <w:t>60</w:t>
      </w:r>
      <w:r>
        <w:rPr>
          <w:rFonts w:hint="eastAsia" w:cs="Times New Roman" w:asciiTheme="minorHAnsi" w:hAnsiTheme="minorHAnsi" w:eastAsiaTheme="minorEastAsia"/>
          <w:b/>
          <w:bCs/>
          <w:kern w:val="2"/>
          <w:sz w:val="21"/>
          <w:szCs w:val="21"/>
        </w:rPr>
        <w:t>天左右付款</w:t>
      </w:r>
      <w:r>
        <w:rPr>
          <w:rFonts w:hint="eastAsia" w:cs="Times New Roman" w:asciiTheme="minorHAnsi" w:hAnsiTheme="minorHAnsi" w:eastAsiaTheme="minorEastAsia"/>
          <w:b w:val="0"/>
          <w:bCs w:val="0"/>
          <w:kern w:val="2"/>
          <w:sz w:val="21"/>
          <w:szCs w:val="21"/>
        </w:rPr>
        <w:t>。</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lang w:eastAsia="zh-CN"/>
        </w:rPr>
      </w:pPr>
      <w:r>
        <w:rPr>
          <w:rFonts w:hint="eastAsia" w:cs="Times New Roman" w:asciiTheme="minorHAnsi" w:hAnsiTheme="minorHAnsi" w:eastAsiaTheme="minorEastAsia"/>
          <w:b w:val="0"/>
          <w:bCs w:val="0"/>
          <w:kern w:val="2"/>
          <w:sz w:val="21"/>
          <w:szCs w:val="21"/>
        </w:rPr>
        <w:t>交货地点：</w:t>
      </w:r>
      <w:r>
        <w:rPr>
          <w:rFonts w:hint="eastAsia" w:cs="Times New Roman" w:asciiTheme="minorHAnsi" w:hAnsiTheme="minorHAnsi" w:eastAsiaTheme="minorEastAsia"/>
          <w:b w:val="0"/>
          <w:bCs w:val="0"/>
          <w:kern w:val="2"/>
          <w:sz w:val="21"/>
          <w:szCs w:val="21"/>
          <w:lang w:eastAsia="zh-CN"/>
        </w:rPr>
        <w:t>广东省吴川市环保热力发电厂及配套设施项目处理厂内</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交货时间：2025-6-26到2026-6-20。</w:t>
      </w: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1" w:name="_Toc456799696"/>
      <w:bookmarkStart w:id="72" w:name="_Toc456799804"/>
      <w:bookmarkStart w:id="73" w:name="_Toc456799956"/>
      <w:bookmarkStart w:id="74"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1"/>
      <w:bookmarkEnd w:id="72"/>
      <w:bookmarkEnd w:id="73"/>
      <w:bookmarkEnd w:id="74"/>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5" w:name="_Toc174521077"/>
      <w:bookmarkStart w:id="76" w:name="_Toc176085646"/>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5"/>
    <w:bookmarkEnd w:id="76"/>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吴川垃圾发电项目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w:t>
      </w:r>
      <w:r>
        <w:rPr>
          <w:rFonts w:hint="eastAsia" w:ascii="宋体" w:hAnsi="宋体" w:eastAsia="宋体" w:cs="Times New Roman"/>
          <w:sz w:val="44"/>
          <w:szCs w:val="44"/>
          <w:lang w:eastAsia="zh-CN"/>
        </w:rPr>
        <w:t>粉状煤质活性炭</w:t>
      </w:r>
      <w:r>
        <w:rPr>
          <w:rFonts w:hint="eastAsia" w:ascii="宋体" w:hAnsi="宋体" w:eastAsia="宋体" w:cs="Times New Roman"/>
          <w:sz w:val="44"/>
          <w:szCs w:val="44"/>
        </w:rPr>
        <w:t>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LK-ZJLK-ZB-JC2026-002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7"/>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73866512">
      <w:pPr>
        <w:tabs>
          <w:tab w:val="left" w:pos="502"/>
          <w:tab w:val="left" w:pos="709"/>
        </w:tabs>
        <w:adjustRightInd w:val="0"/>
        <w:snapToGrid w:val="0"/>
        <w:spacing w:line="440" w:lineRule="exact"/>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项目地址二：位于广东省湛江市朗坤环保能源有限公司。该项目配备两台日处理500吨机械炉排焚烧炉，烟气处理设计为半干法脱硫+SNCR+活性炭+布袋除尘。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高州项目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粉状煤质活性炭</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180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lang w:eastAsia="zh-CN"/>
        </w:rPr>
      </w:pPr>
      <w:r>
        <w:rPr>
          <w:rFonts w:hint="eastAsia" w:ascii="仿宋" w:hAnsi="仿宋" w:eastAsia="仿宋" w:cs="仿宋"/>
          <w:b/>
          <w:sz w:val="28"/>
          <w:szCs w:val="28"/>
        </w:rPr>
        <w:t>3.2</w:t>
      </w:r>
      <w:r>
        <w:rPr>
          <w:rFonts w:hint="eastAsia" w:ascii="仿宋" w:hAnsi="仿宋" w:eastAsia="仿宋" w:cs="仿宋"/>
          <w:b/>
          <w:sz w:val="28"/>
          <w:szCs w:val="28"/>
          <w:lang w:eastAsia="zh-CN"/>
        </w:rPr>
        <w:t>粉状煤质活性炭</w:t>
      </w:r>
    </w:p>
    <w:p w14:paraId="1F7EB684">
      <w:pPr>
        <w:pStyle w:val="80"/>
        <w:numPr>
          <w:ilvl w:val="0"/>
          <w:numId w:val="2"/>
        </w:numPr>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粉状煤质活性炭</w:t>
      </w:r>
      <w:r>
        <w:rPr>
          <w:rFonts w:hint="eastAsia" w:ascii="仿宋" w:hAnsi="仿宋" w:eastAsia="仿宋" w:cs="仿宋"/>
          <w:sz w:val="28"/>
          <w:szCs w:val="28"/>
        </w:rPr>
        <w:t>技术指标（表二）</w:t>
      </w:r>
    </w:p>
    <w:p w14:paraId="0DA40753">
      <w:pPr>
        <w:pStyle w:val="80"/>
        <w:numPr>
          <w:ilvl w:val="0"/>
          <w:numId w:val="0"/>
        </w:numPr>
        <w:spacing w:line="220" w:lineRule="atLeast"/>
        <w:rPr>
          <w:rFonts w:hint="eastAsia" w:ascii="仿宋" w:hAnsi="仿宋" w:eastAsia="仿宋" w:cs="仿宋"/>
          <w:sz w:val="28"/>
          <w:szCs w:val="28"/>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31"/>
      </w:tblGrid>
      <w:tr w14:paraId="7A50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D33B0B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685444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786A1C2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指标</w:t>
            </w:r>
          </w:p>
        </w:tc>
        <w:tc>
          <w:tcPr>
            <w:tcW w:w="2131" w:type="dxa"/>
            <w:noWrap w:val="0"/>
            <w:vAlign w:val="top"/>
          </w:tcPr>
          <w:p w14:paraId="1EF8047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19EC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93A697F">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995" w:type="dxa"/>
            <w:noWrap w:val="0"/>
            <w:vAlign w:val="center"/>
          </w:tcPr>
          <w:p w14:paraId="66359444">
            <w:pPr>
              <w:pStyle w:val="14"/>
              <w:jc w:val="center"/>
              <w:rPr>
                <w:rFonts w:hint="eastAsia" w:ascii="仿宋" w:hAnsi="仿宋" w:eastAsia="仿宋" w:cs="仿宋"/>
                <w:sz w:val="28"/>
                <w:szCs w:val="28"/>
              </w:rPr>
            </w:pPr>
            <w:r>
              <w:rPr>
                <w:rFonts w:hint="eastAsia"/>
                <w:snapToGrid w:val="0"/>
                <w:szCs w:val="21"/>
              </w:rPr>
              <w:t>碘吸附值</w:t>
            </w:r>
          </w:p>
        </w:tc>
        <w:tc>
          <w:tcPr>
            <w:tcW w:w="2295" w:type="dxa"/>
            <w:noWrap w:val="0"/>
            <w:vAlign w:val="center"/>
          </w:tcPr>
          <w:p w14:paraId="0BEE3F56">
            <w:pPr>
              <w:pStyle w:val="14"/>
              <w:jc w:val="center"/>
              <w:rPr>
                <w:rFonts w:hint="eastAsia" w:ascii="仿宋" w:hAnsi="仿宋" w:eastAsia="仿宋" w:cs="仿宋"/>
                <w:sz w:val="28"/>
                <w:szCs w:val="28"/>
              </w:rPr>
            </w:pPr>
            <w:r>
              <w:rPr>
                <w:rFonts w:hint="eastAsia"/>
                <w:snapToGrid w:val="0"/>
                <w:szCs w:val="21"/>
              </w:rPr>
              <w:t>≥</w:t>
            </w:r>
            <w:r>
              <w:rPr>
                <w:rFonts w:hint="eastAsia"/>
                <w:snapToGrid w:val="0"/>
                <w:szCs w:val="21"/>
                <w:lang w:val="en-US" w:eastAsia="zh-CN"/>
              </w:rPr>
              <w:t>9</w:t>
            </w:r>
            <w:bookmarkStart w:id="83" w:name="_GoBack"/>
            <w:bookmarkEnd w:id="83"/>
            <w:r>
              <w:rPr>
                <w:rFonts w:hint="eastAsia"/>
                <w:snapToGrid w:val="0"/>
                <w:szCs w:val="21"/>
              </w:rPr>
              <w:t>00 mg/g</w:t>
            </w:r>
          </w:p>
        </w:tc>
        <w:tc>
          <w:tcPr>
            <w:tcW w:w="2131" w:type="dxa"/>
            <w:noWrap w:val="0"/>
            <w:vAlign w:val="top"/>
          </w:tcPr>
          <w:p w14:paraId="12395752">
            <w:pPr>
              <w:spacing w:line="220" w:lineRule="atLeast"/>
              <w:jc w:val="both"/>
              <w:rPr>
                <w:rFonts w:hint="eastAsia" w:ascii="仿宋" w:hAnsi="仿宋" w:eastAsia="仿宋" w:cs="仿宋"/>
                <w:sz w:val="28"/>
                <w:szCs w:val="28"/>
              </w:rPr>
            </w:pPr>
          </w:p>
        </w:tc>
      </w:tr>
      <w:tr w14:paraId="47F1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9AD3D3C">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2995" w:type="dxa"/>
            <w:noWrap w:val="0"/>
            <w:vAlign w:val="center"/>
          </w:tcPr>
          <w:p w14:paraId="3A5106F2">
            <w:pPr>
              <w:pStyle w:val="14"/>
              <w:jc w:val="center"/>
              <w:rPr>
                <w:rFonts w:hint="eastAsia" w:ascii="仿宋" w:hAnsi="仿宋" w:eastAsia="仿宋" w:cs="仿宋"/>
                <w:sz w:val="28"/>
                <w:szCs w:val="28"/>
              </w:rPr>
            </w:pPr>
            <w:r>
              <w:rPr>
                <w:rFonts w:hint="eastAsia"/>
                <w:snapToGrid w:val="0"/>
                <w:color w:val="000000"/>
                <w:szCs w:val="21"/>
              </w:rPr>
              <w:t>比表面积（BET）</w:t>
            </w:r>
          </w:p>
        </w:tc>
        <w:tc>
          <w:tcPr>
            <w:tcW w:w="2295" w:type="dxa"/>
            <w:noWrap w:val="0"/>
            <w:vAlign w:val="center"/>
          </w:tcPr>
          <w:p w14:paraId="777E4754">
            <w:pPr>
              <w:pStyle w:val="14"/>
              <w:jc w:val="center"/>
              <w:rPr>
                <w:rFonts w:hint="eastAsia" w:ascii="仿宋" w:hAnsi="仿宋" w:eastAsia="仿宋" w:cs="仿宋"/>
                <w:sz w:val="28"/>
                <w:szCs w:val="28"/>
              </w:rPr>
            </w:pPr>
            <w:r>
              <w:rPr>
                <w:rFonts w:hint="eastAsia"/>
                <w:snapToGrid w:val="0"/>
                <w:szCs w:val="21"/>
              </w:rPr>
              <w:t>≥</w:t>
            </w:r>
            <w:r>
              <w:rPr>
                <w:rFonts w:hint="eastAsia"/>
                <w:snapToGrid w:val="0"/>
                <w:color w:val="000000"/>
                <w:szCs w:val="21"/>
              </w:rPr>
              <w:t>900 ㎡/g</w:t>
            </w:r>
          </w:p>
        </w:tc>
        <w:tc>
          <w:tcPr>
            <w:tcW w:w="2131" w:type="dxa"/>
            <w:noWrap w:val="0"/>
            <w:vAlign w:val="top"/>
          </w:tcPr>
          <w:p w14:paraId="1F1490F3">
            <w:pPr>
              <w:spacing w:line="220" w:lineRule="atLeast"/>
              <w:rPr>
                <w:rFonts w:hint="eastAsia" w:ascii="仿宋" w:hAnsi="仿宋" w:eastAsia="仿宋" w:cs="仿宋"/>
                <w:sz w:val="28"/>
                <w:szCs w:val="28"/>
              </w:rPr>
            </w:pPr>
          </w:p>
        </w:tc>
      </w:tr>
      <w:tr w14:paraId="6C3A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333665E">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995" w:type="dxa"/>
            <w:noWrap w:val="0"/>
            <w:vAlign w:val="center"/>
          </w:tcPr>
          <w:p w14:paraId="61562DC3">
            <w:pPr>
              <w:pStyle w:val="14"/>
              <w:jc w:val="center"/>
              <w:rPr>
                <w:rFonts w:hint="eastAsia" w:ascii="仿宋" w:hAnsi="仿宋" w:eastAsia="仿宋" w:cs="仿宋"/>
                <w:sz w:val="28"/>
                <w:szCs w:val="28"/>
              </w:rPr>
            </w:pPr>
            <w:r>
              <w:rPr>
                <w:rFonts w:hint="eastAsia"/>
                <w:snapToGrid w:val="0"/>
                <w:color w:val="000000"/>
                <w:szCs w:val="21"/>
              </w:rPr>
              <w:t>灰分</w:t>
            </w:r>
          </w:p>
        </w:tc>
        <w:tc>
          <w:tcPr>
            <w:tcW w:w="2295" w:type="dxa"/>
            <w:noWrap w:val="0"/>
            <w:vAlign w:val="center"/>
          </w:tcPr>
          <w:p w14:paraId="74AC5AF4">
            <w:pPr>
              <w:pStyle w:val="14"/>
              <w:jc w:val="center"/>
              <w:rPr>
                <w:rFonts w:hint="eastAsia" w:ascii="仿宋" w:hAnsi="仿宋" w:eastAsia="仿宋" w:cs="仿宋"/>
                <w:sz w:val="28"/>
                <w:szCs w:val="28"/>
              </w:rPr>
            </w:pPr>
            <w:r>
              <w:rPr>
                <w:rFonts w:hint="eastAsia"/>
              </w:rPr>
              <w:t>≤1</w:t>
            </w:r>
            <w:r>
              <w:rPr>
                <w:rFonts w:hint="eastAsia"/>
                <w:lang w:val="en-US" w:eastAsia="zh-CN"/>
              </w:rPr>
              <w:t>5</w:t>
            </w:r>
            <w:r>
              <w:rPr>
                <w:rFonts w:hint="eastAsia"/>
              </w:rPr>
              <w:t>%</w:t>
            </w:r>
          </w:p>
        </w:tc>
        <w:tc>
          <w:tcPr>
            <w:tcW w:w="2131" w:type="dxa"/>
            <w:noWrap w:val="0"/>
            <w:vAlign w:val="top"/>
          </w:tcPr>
          <w:p w14:paraId="27F84B65">
            <w:pPr>
              <w:spacing w:line="220" w:lineRule="atLeast"/>
              <w:rPr>
                <w:rFonts w:hint="eastAsia" w:ascii="仿宋" w:hAnsi="仿宋" w:eastAsia="仿宋" w:cs="仿宋"/>
                <w:sz w:val="28"/>
                <w:szCs w:val="28"/>
              </w:rPr>
            </w:pPr>
          </w:p>
        </w:tc>
      </w:tr>
      <w:tr w14:paraId="5E93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E8BACF9">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p>
        </w:tc>
        <w:tc>
          <w:tcPr>
            <w:tcW w:w="2995" w:type="dxa"/>
            <w:noWrap w:val="0"/>
            <w:vAlign w:val="center"/>
          </w:tcPr>
          <w:p w14:paraId="5E51B6E6">
            <w:pPr>
              <w:pStyle w:val="14"/>
              <w:jc w:val="center"/>
              <w:rPr>
                <w:rFonts w:hint="eastAsia" w:ascii="仿宋" w:hAnsi="仿宋" w:eastAsia="仿宋" w:cs="仿宋"/>
                <w:sz w:val="28"/>
                <w:szCs w:val="28"/>
              </w:rPr>
            </w:pPr>
            <w:r>
              <w:rPr>
                <w:rFonts w:hint="eastAsia"/>
              </w:rPr>
              <w:t>水分</w:t>
            </w:r>
          </w:p>
        </w:tc>
        <w:tc>
          <w:tcPr>
            <w:tcW w:w="2295" w:type="dxa"/>
            <w:noWrap w:val="0"/>
            <w:vAlign w:val="center"/>
          </w:tcPr>
          <w:p w14:paraId="0971E687">
            <w:pPr>
              <w:pStyle w:val="14"/>
              <w:jc w:val="center"/>
              <w:rPr>
                <w:rFonts w:hint="eastAsia" w:ascii="仿宋" w:hAnsi="仿宋" w:eastAsia="仿宋" w:cs="仿宋"/>
                <w:sz w:val="28"/>
                <w:szCs w:val="28"/>
              </w:rPr>
            </w:pPr>
            <w:r>
              <w:rPr>
                <w:rFonts w:hint="eastAsia"/>
              </w:rPr>
              <w:t>≤5%</w:t>
            </w:r>
          </w:p>
        </w:tc>
        <w:tc>
          <w:tcPr>
            <w:tcW w:w="2131" w:type="dxa"/>
            <w:noWrap w:val="0"/>
            <w:vAlign w:val="top"/>
          </w:tcPr>
          <w:p w14:paraId="518556D4">
            <w:pPr>
              <w:spacing w:line="220" w:lineRule="atLeast"/>
              <w:rPr>
                <w:rFonts w:hint="eastAsia" w:ascii="仿宋" w:hAnsi="仿宋" w:eastAsia="仿宋" w:cs="仿宋"/>
                <w:sz w:val="28"/>
                <w:szCs w:val="28"/>
              </w:rPr>
            </w:pPr>
          </w:p>
        </w:tc>
      </w:tr>
      <w:tr w14:paraId="3B83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4645CC9">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2995" w:type="dxa"/>
            <w:noWrap w:val="0"/>
            <w:vAlign w:val="center"/>
          </w:tcPr>
          <w:p w14:paraId="7264E4B7">
            <w:pPr>
              <w:pStyle w:val="14"/>
              <w:jc w:val="center"/>
              <w:rPr>
                <w:rFonts w:hint="eastAsia" w:ascii="仿宋" w:hAnsi="仿宋" w:eastAsia="仿宋" w:cs="仿宋"/>
                <w:sz w:val="28"/>
                <w:szCs w:val="28"/>
              </w:rPr>
            </w:pPr>
            <w:r>
              <w:rPr>
                <w:rFonts w:hint="eastAsia"/>
                <w:snapToGrid w:val="0"/>
                <w:szCs w:val="21"/>
              </w:rPr>
              <w:t>细度</w:t>
            </w:r>
          </w:p>
        </w:tc>
        <w:tc>
          <w:tcPr>
            <w:tcW w:w="2295" w:type="dxa"/>
            <w:noWrap w:val="0"/>
            <w:vAlign w:val="center"/>
          </w:tcPr>
          <w:p w14:paraId="3FF6365B">
            <w:pPr>
              <w:pStyle w:val="14"/>
              <w:rPr>
                <w:rFonts w:hint="eastAsia" w:ascii="仿宋" w:hAnsi="仿宋" w:eastAsia="仿宋" w:cs="仿宋"/>
                <w:sz w:val="28"/>
                <w:szCs w:val="28"/>
              </w:rPr>
            </w:pPr>
            <w:r>
              <w:rPr>
                <w:rFonts w:hint="eastAsia"/>
                <w:snapToGrid w:val="0"/>
                <w:szCs w:val="21"/>
              </w:rPr>
              <w:t>200目过筛≥ 95%</w:t>
            </w:r>
          </w:p>
        </w:tc>
        <w:tc>
          <w:tcPr>
            <w:tcW w:w="2131" w:type="dxa"/>
            <w:noWrap w:val="0"/>
            <w:vAlign w:val="top"/>
          </w:tcPr>
          <w:p w14:paraId="45030EB7">
            <w:pPr>
              <w:spacing w:line="220" w:lineRule="atLeast"/>
              <w:rPr>
                <w:rFonts w:hint="eastAsia" w:ascii="仿宋" w:hAnsi="仿宋" w:eastAsia="仿宋" w:cs="仿宋"/>
                <w:sz w:val="28"/>
                <w:szCs w:val="28"/>
              </w:rPr>
            </w:pPr>
          </w:p>
        </w:tc>
      </w:tr>
      <w:tr w14:paraId="1077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EAEF18C">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p>
        </w:tc>
        <w:tc>
          <w:tcPr>
            <w:tcW w:w="2995" w:type="dxa"/>
            <w:noWrap w:val="0"/>
            <w:vAlign w:val="center"/>
          </w:tcPr>
          <w:p w14:paraId="652F34B3">
            <w:pPr>
              <w:pStyle w:val="14"/>
              <w:jc w:val="center"/>
              <w:rPr>
                <w:rFonts w:hint="eastAsia" w:ascii="仿宋" w:hAnsi="仿宋" w:eastAsia="仿宋" w:cs="仿宋"/>
                <w:sz w:val="28"/>
                <w:szCs w:val="28"/>
              </w:rPr>
            </w:pPr>
            <w:r>
              <w:rPr>
                <w:rFonts w:hint="eastAsia"/>
              </w:rPr>
              <w:t>PH</w:t>
            </w:r>
          </w:p>
        </w:tc>
        <w:tc>
          <w:tcPr>
            <w:tcW w:w="2295" w:type="dxa"/>
            <w:noWrap w:val="0"/>
            <w:vAlign w:val="center"/>
          </w:tcPr>
          <w:p w14:paraId="05717230">
            <w:pPr>
              <w:pStyle w:val="14"/>
              <w:jc w:val="center"/>
              <w:rPr>
                <w:rFonts w:hint="eastAsia" w:ascii="仿宋" w:hAnsi="仿宋" w:eastAsia="仿宋" w:cs="仿宋"/>
                <w:sz w:val="28"/>
                <w:szCs w:val="28"/>
              </w:rPr>
            </w:pPr>
            <w:r>
              <w:rPr>
                <w:rFonts w:hint="eastAsia"/>
              </w:rPr>
              <w:t>6-10</w:t>
            </w:r>
          </w:p>
        </w:tc>
        <w:tc>
          <w:tcPr>
            <w:tcW w:w="2131" w:type="dxa"/>
            <w:noWrap w:val="0"/>
            <w:vAlign w:val="top"/>
          </w:tcPr>
          <w:p w14:paraId="7889987D">
            <w:pPr>
              <w:spacing w:line="220" w:lineRule="atLeast"/>
              <w:rPr>
                <w:rFonts w:hint="eastAsia" w:ascii="仿宋" w:hAnsi="仿宋" w:eastAsia="仿宋" w:cs="仿宋"/>
                <w:sz w:val="28"/>
                <w:szCs w:val="28"/>
              </w:rPr>
            </w:pPr>
          </w:p>
        </w:tc>
      </w:tr>
      <w:tr w14:paraId="055A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4F8D041">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7</w:t>
            </w:r>
          </w:p>
        </w:tc>
        <w:tc>
          <w:tcPr>
            <w:tcW w:w="2995" w:type="dxa"/>
            <w:noWrap w:val="0"/>
            <w:vAlign w:val="center"/>
          </w:tcPr>
          <w:p w14:paraId="3FCFE1F8">
            <w:pPr>
              <w:pStyle w:val="14"/>
              <w:jc w:val="center"/>
              <w:rPr>
                <w:rFonts w:hint="eastAsia" w:ascii="仿宋" w:hAnsi="仿宋" w:eastAsia="仿宋" w:cs="仿宋"/>
                <w:sz w:val="28"/>
                <w:szCs w:val="28"/>
              </w:rPr>
            </w:pPr>
            <w:r>
              <w:rPr>
                <w:rFonts w:hint="eastAsia"/>
              </w:rPr>
              <w:t>松袋密度</w:t>
            </w:r>
          </w:p>
        </w:tc>
        <w:tc>
          <w:tcPr>
            <w:tcW w:w="2295" w:type="dxa"/>
            <w:noWrap w:val="0"/>
            <w:vAlign w:val="center"/>
          </w:tcPr>
          <w:p w14:paraId="166A546C">
            <w:pPr>
              <w:pStyle w:val="14"/>
              <w:jc w:val="center"/>
              <w:rPr>
                <w:rFonts w:hint="eastAsia" w:ascii="仿宋" w:hAnsi="仿宋" w:eastAsia="仿宋" w:cs="仿宋"/>
                <w:sz w:val="28"/>
                <w:szCs w:val="28"/>
              </w:rPr>
            </w:pPr>
            <w:r>
              <w:rPr>
                <w:rFonts w:hint="eastAsia"/>
              </w:rPr>
              <w:t>400-500kg/m3</w:t>
            </w:r>
          </w:p>
        </w:tc>
        <w:tc>
          <w:tcPr>
            <w:tcW w:w="2131" w:type="dxa"/>
            <w:noWrap w:val="0"/>
            <w:vAlign w:val="top"/>
          </w:tcPr>
          <w:p w14:paraId="5A308C9F">
            <w:pPr>
              <w:spacing w:line="220" w:lineRule="atLeast"/>
              <w:rPr>
                <w:rFonts w:hint="eastAsia" w:ascii="仿宋" w:hAnsi="仿宋" w:eastAsia="仿宋" w:cs="仿宋"/>
                <w:sz w:val="28"/>
                <w:szCs w:val="28"/>
              </w:rPr>
            </w:pPr>
          </w:p>
        </w:tc>
      </w:tr>
      <w:tr w14:paraId="0D87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730236E">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8</w:t>
            </w:r>
          </w:p>
        </w:tc>
        <w:tc>
          <w:tcPr>
            <w:tcW w:w="2995" w:type="dxa"/>
            <w:noWrap w:val="0"/>
            <w:vAlign w:val="center"/>
          </w:tcPr>
          <w:p w14:paraId="4A869F00">
            <w:pPr>
              <w:pStyle w:val="14"/>
              <w:jc w:val="center"/>
              <w:rPr>
                <w:rFonts w:hint="eastAsia" w:ascii="仿宋" w:hAnsi="仿宋" w:eastAsia="仿宋" w:cs="仿宋"/>
                <w:sz w:val="28"/>
                <w:szCs w:val="28"/>
              </w:rPr>
            </w:pPr>
            <w:r>
              <w:rPr>
                <w:rFonts w:hint="eastAsia"/>
              </w:rPr>
              <w:t>四氯化炭吸附值</w:t>
            </w:r>
          </w:p>
        </w:tc>
        <w:tc>
          <w:tcPr>
            <w:tcW w:w="2295" w:type="dxa"/>
            <w:noWrap w:val="0"/>
            <w:vAlign w:val="center"/>
          </w:tcPr>
          <w:p w14:paraId="1C0DFC29">
            <w:pPr>
              <w:pStyle w:val="14"/>
              <w:jc w:val="center"/>
              <w:rPr>
                <w:rFonts w:hint="eastAsia" w:ascii="仿宋" w:hAnsi="仿宋" w:eastAsia="仿宋" w:cs="仿宋"/>
                <w:sz w:val="28"/>
                <w:szCs w:val="28"/>
              </w:rPr>
            </w:pPr>
            <w:r>
              <w:rPr>
                <w:rFonts w:hint="eastAsia"/>
              </w:rPr>
              <w:t>＞60%</w:t>
            </w:r>
          </w:p>
        </w:tc>
        <w:tc>
          <w:tcPr>
            <w:tcW w:w="2131" w:type="dxa"/>
            <w:noWrap w:val="0"/>
            <w:vAlign w:val="top"/>
          </w:tcPr>
          <w:p w14:paraId="23378003">
            <w:pPr>
              <w:spacing w:line="220" w:lineRule="atLeast"/>
              <w:rPr>
                <w:rFonts w:hint="eastAsia" w:ascii="仿宋" w:hAnsi="仿宋" w:eastAsia="仿宋" w:cs="仿宋"/>
                <w:sz w:val="28"/>
                <w:szCs w:val="28"/>
              </w:rPr>
            </w:pPr>
          </w:p>
        </w:tc>
      </w:tr>
    </w:tbl>
    <w:p w14:paraId="3C31E666">
      <w:pPr>
        <w:spacing w:line="440" w:lineRule="exact"/>
        <w:outlineLvl w:val="0"/>
        <w:rPr>
          <w:rFonts w:hint="eastAsia" w:ascii="仿宋" w:hAnsi="仿宋" w:eastAsia="华文中宋" w:cs="仿宋"/>
          <w:color w:val="000000"/>
          <w:sz w:val="28"/>
          <w:szCs w:val="28"/>
          <w:lang w:val="en-US" w:eastAsia="zh-CN"/>
        </w:rPr>
      </w:pPr>
      <w:r>
        <w:rPr>
          <w:rFonts w:hint="eastAsia" w:ascii="宋体" w:hAnsi="宋体"/>
          <w:szCs w:val="21"/>
          <w:lang w:val="en-US" w:eastAsia="zh-CN"/>
        </w:rPr>
        <w:t>以上按</w:t>
      </w:r>
      <w:r>
        <w:rPr>
          <w:rFonts w:hint="eastAsia" w:ascii="宋体" w:hAnsi="宋体"/>
          <w:szCs w:val="21"/>
        </w:rPr>
        <w:t>GB/T7702 《煤质颗粒活性炭试验方法》</w:t>
      </w:r>
      <w:r>
        <w:rPr>
          <w:rFonts w:hint="eastAsia" w:ascii="宋体" w:hAnsi="宋体"/>
          <w:szCs w:val="21"/>
          <w:lang w:val="en-US" w:eastAsia="zh-CN"/>
        </w:rPr>
        <w:t>检测。</w:t>
      </w:r>
    </w:p>
    <w:p w14:paraId="102A5A9F">
      <w:pPr>
        <w:spacing w:line="440" w:lineRule="exact"/>
        <w:outlineLvl w:val="0"/>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运输要求</w:t>
      </w:r>
    </w:p>
    <w:p w14:paraId="58FE827B">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 xml:space="preserve">*必须采用罐车运输，且罐车带气体输送装置，输送装置接头应按甲方现场接头为准，如不匹配的乙方自行更改，每次送 </w:t>
      </w:r>
      <w:r>
        <w:rPr>
          <w:rFonts w:hint="eastAsia" w:ascii="仿宋" w:hAnsi="仿宋" w:eastAsia="仿宋" w:cs="仿宋"/>
          <w:sz w:val="28"/>
          <w:szCs w:val="28"/>
          <w:lang w:val="en-US" w:eastAsia="zh-CN"/>
        </w:rPr>
        <w:t>5</w:t>
      </w:r>
      <w:r>
        <w:rPr>
          <w:rFonts w:hint="eastAsia" w:ascii="仿宋" w:hAnsi="仿宋" w:eastAsia="仿宋" w:cs="仿宋"/>
          <w:sz w:val="28"/>
          <w:szCs w:val="28"/>
        </w:rPr>
        <w:t>吨左右；</w:t>
      </w:r>
    </w:p>
    <w:p w14:paraId="4BCA2817">
      <w:pPr>
        <w:spacing w:line="440" w:lineRule="exact"/>
        <w:rPr>
          <w:rFonts w:hint="eastAsia" w:ascii="仿宋" w:hAnsi="仿宋" w:eastAsia="仿宋" w:cs="仿宋"/>
          <w:sz w:val="28"/>
          <w:szCs w:val="28"/>
        </w:rPr>
      </w:pPr>
      <w:r>
        <w:rPr>
          <w:rFonts w:hint="eastAsia" w:ascii="仿宋" w:hAnsi="仿宋" w:eastAsia="仿宋" w:cs="仿宋"/>
          <w:sz w:val="28"/>
          <w:szCs w:val="28"/>
        </w:rPr>
        <w:t>三）、交货时提供的技术资料</w:t>
      </w:r>
    </w:p>
    <w:p w14:paraId="6C43D011">
      <w:pPr>
        <w:spacing w:line="440" w:lineRule="exact"/>
        <w:rPr>
          <w:rFonts w:hint="eastAsia" w:ascii="仿宋" w:hAnsi="仿宋" w:eastAsia="仿宋" w:cs="仿宋"/>
          <w:sz w:val="28"/>
          <w:szCs w:val="28"/>
        </w:rPr>
      </w:pPr>
      <w:r>
        <w:rPr>
          <w:rFonts w:hint="eastAsia" w:ascii="仿宋" w:hAnsi="仿宋" w:eastAsia="仿宋" w:cs="仿宋"/>
          <w:sz w:val="28"/>
          <w:szCs w:val="28"/>
        </w:rPr>
        <w:t>*1、材料的合格证或质保证书及出厂检验报告。</w:t>
      </w:r>
    </w:p>
    <w:p w14:paraId="19A74C66">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四）、交货地点、交货进度</w:t>
      </w:r>
    </w:p>
    <w:p w14:paraId="2EAE9DB2">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3611F2DC">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rPr>
        <w:t>交货地点</w:t>
      </w:r>
    </w:p>
    <w:p w14:paraId="294996F2">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color w:val="000000"/>
          <w:spacing w:val="10"/>
          <w:kern w:val="2"/>
          <w:sz w:val="28"/>
          <w:szCs w:val="28"/>
          <w:lang w:val="en-US" w:eastAsia="zh-CN" w:bidi="ar-SA"/>
        </w:rPr>
        <w:t>湛江市朗坤环保能源有限公司</w:t>
      </w:r>
      <w:r>
        <w:rPr>
          <w:rFonts w:hint="eastAsia" w:ascii="仿宋" w:hAnsi="仿宋" w:eastAsia="仿宋" w:cs="仿宋"/>
          <w:color w:val="000000"/>
          <w:position w:val="2"/>
          <w:sz w:val="28"/>
          <w:szCs w:val="28"/>
        </w:rPr>
        <w:t>。</w:t>
      </w:r>
    </w:p>
    <w:p w14:paraId="210C75E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393E9BA4">
      <w:pPr>
        <w:spacing w:line="440" w:lineRule="exact"/>
        <w:rPr>
          <w:rFonts w:hint="eastAsia" w:ascii="仿宋" w:hAnsi="仿宋" w:eastAsia="仿宋" w:cs="仿宋"/>
          <w:color w:val="000000"/>
          <w:spacing w:val="10"/>
          <w:sz w:val="28"/>
          <w:szCs w:val="28"/>
        </w:rPr>
      </w:pPr>
      <w:r>
        <w:rPr>
          <w:rFonts w:hint="eastAsia" w:ascii="仿宋" w:hAnsi="仿宋" w:eastAsia="仿宋" w:cs="仿宋"/>
          <w:sz w:val="28"/>
          <w:szCs w:val="28"/>
        </w:rPr>
        <w:t>* 分批送货</w:t>
      </w:r>
      <w:r>
        <w:rPr>
          <w:rFonts w:hint="eastAsia" w:ascii="仿宋" w:hAnsi="仿宋" w:eastAsia="仿宋" w:cs="仿宋"/>
          <w:color w:val="000000"/>
          <w:spacing w:val="10"/>
          <w:sz w:val="28"/>
          <w:szCs w:val="28"/>
        </w:rPr>
        <w:t>，第一批货物的送</w:t>
      </w:r>
      <w:r>
        <w:rPr>
          <w:rFonts w:hint="eastAsia" w:ascii="仿宋" w:hAnsi="仿宋" w:eastAsia="仿宋" w:cs="仿宋"/>
          <w:spacing w:val="10"/>
          <w:sz w:val="28"/>
          <w:szCs w:val="28"/>
        </w:rPr>
        <w:t>货时间为中标通知书发出后第  个日历日（甲方原因除外），具体送货时间以甲方书面通知</w:t>
      </w:r>
      <w:r>
        <w:rPr>
          <w:rFonts w:hint="eastAsia" w:ascii="仿宋" w:hAnsi="仿宋" w:eastAsia="仿宋" w:cs="仿宋"/>
          <w:color w:val="000000"/>
          <w:spacing w:val="10"/>
          <w:sz w:val="28"/>
          <w:szCs w:val="28"/>
        </w:rPr>
        <w:t>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CDA842E">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648FCDBB">
      <w:pPr>
        <w:spacing w:line="360" w:lineRule="auto"/>
        <w:rPr>
          <w:rFonts w:hint="eastAsia" w:ascii="仿宋" w:hAnsi="仿宋" w:eastAsia="仿宋" w:cs="仿宋"/>
          <w:sz w:val="28"/>
          <w:szCs w:val="28"/>
        </w:rPr>
      </w:pPr>
      <w:r>
        <w:rPr>
          <w:rFonts w:hint="eastAsia" w:ascii="仿宋" w:hAnsi="仿宋" w:eastAsia="仿宋" w:cs="仿宋"/>
          <w:sz w:val="28"/>
          <w:szCs w:val="28"/>
        </w:rPr>
        <w:t>1、验收方式：到货后，抽取样品封存，甲乙双方各自留存共同抽取样封存的样品。甲方对产品质量提出异议的，送至双方认可的第三方检测机构进行检验出具检测报告。如检测结果不符合技术协议及国家相关标准要求，由乙方承担检测费并承担由此给甲方造成的一切损失。</w:t>
      </w:r>
    </w:p>
    <w:p w14:paraId="7F58B51E">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1．1 货物到达后，在甲方地磅房过磅，重量以过磅的结果为准。</w:t>
      </w:r>
    </w:p>
    <w:p w14:paraId="7D1E9F30">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1．2 货物到达后甲乙双方取样进行外观检查并封存样品，若对货物质量有异议时将样品送具有相应资质的单位进行检测。</w:t>
      </w:r>
    </w:p>
    <w:p w14:paraId="631AF49F">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2、合格标准：</w:t>
      </w:r>
    </w:p>
    <w:p w14:paraId="30E63E37">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 货物出厂检测结果应全部满足表二的要求。</w:t>
      </w:r>
    </w:p>
    <w:p w14:paraId="7968B0FE">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 外观检查合格。</w:t>
      </w:r>
    </w:p>
    <w:p w14:paraId="7815809B">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 若有送检其检测结果应全部满足表二的要求。</w:t>
      </w:r>
      <w:r>
        <w:rPr>
          <w:rFonts w:hint="eastAsia" w:ascii="仿宋" w:hAnsi="仿宋" w:eastAsia="仿宋" w:cs="仿宋"/>
          <w:sz w:val="28"/>
          <w:szCs w:val="28"/>
        </w:rPr>
        <w:tab/>
      </w:r>
    </w:p>
    <w:p w14:paraId="16486DEC">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 技术资料齐全。</w:t>
      </w:r>
    </w:p>
    <w:p w14:paraId="2F2C4489">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75AA6650">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37CC559E">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74C04B29">
      <w:pPr>
        <w:adjustRightInd w:val="0"/>
        <w:snapToGrid w:val="0"/>
        <w:spacing w:line="440" w:lineRule="exact"/>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7434BF58">
      <w:pPr>
        <w:pStyle w:val="2"/>
        <w:keepLines w:val="0"/>
        <w:widowControl w:val="0"/>
        <w:snapToGrid w:val="0"/>
        <w:spacing w:before="0" w:after="0" w:line="360" w:lineRule="auto"/>
        <w:jc w:val="both"/>
        <w:rPr>
          <w:rFonts w:hint="eastAsia" w:ascii="仿宋" w:hAnsi="仿宋" w:eastAsia="仿宋" w:cs="仿宋"/>
          <w:b/>
          <w:sz w:val="28"/>
          <w:szCs w:val="28"/>
        </w:rPr>
      </w:pPr>
      <w:bookmarkStart w:id="78" w:name="_Toc50864444"/>
      <w:bookmarkStart w:id="79" w:name="_Toc35342046"/>
      <w:bookmarkStart w:id="80" w:name="_Toc91392962"/>
      <w:bookmarkStart w:id="81" w:name="_Toc123786890"/>
    </w:p>
    <w:p w14:paraId="0605DC01">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8"/>
      <w:bookmarkEnd w:id="79"/>
      <w:bookmarkEnd w:id="80"/>
      <w:r>
        <w:rPr>
          <w:rFonts w:hint="eastAsia" w:ascii="仿宋" w:hAnsi="仿宋" w:eastAsia="仿宋" w:cs="仿宋"/>
          <w:b/>
          <w:sz w:val="28"/>
          <w:szCs w:val="28"/>
        </w:rPr>
        <w:t>技术要求</w:t>
      </w:r>
      <w:bookmarkEnd w:id="81"/>
    </w:p>
    <w:p w14:paraId="265E888C">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2" w:name="_Toc123786891"/>
      <w:r>
        <w:rPr>
          <w:rFonts w:hint="eastAsia" w:ascii="仿宋" w:hAnsi="仿宋" w:eastAsia="仿宋" w:cs="仿宋"/>
          <w:b w:val="0"/>
          <w:kern w:val="44"/>
          <w:szCs w:val="28"/>
        </w:rPr>
        <w:t>一、项目详细技术要求</w:t>
      </w:r>
      <w:bookmarkEnd w:id="82"/>
    </w:p>
    <w:p w14:paraId="069F4A3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w:t>
      </w:r>
      <w:r>
        <w:rPr>
          <w:rFonts w:hint="eastAsia" w:ascii="仿宋" w:hAnsi="仿宋" w:eastAsia="仿宋" w:cs="仿宋"/>
          <w:kern w:val="44"/>
          <w:sz w:val="28"/>
          <w:szCs w:val="28"/>
          <w:lang w:eastAsia="zh-CN"/>
        </w:rPr>
        <w:t>湛江市朗坤环保能源有限公司</w:t>
      </w:r>
      <w:r>
        <w:rPr>
          <w:rFonts w:hint="eastAsia" w:ascii="仿宋" w:hAnsi="仿宋" w:eastAsia="仿宋" w:cs="仿宋"/>
          <w:kern w:val="44"/>
          <w:sz w:val="28"/>
          <w:szCs w:val="28"/>
        </w:rPr>
        <w:t>设施工艺情况，提供有指导意义的技术方案，指导如何才能合理节约环保材料的消耗，满足我厂环保指标的达标排放。</w:t>
      </w:r>
      <w:r>
        <w:rPr>
          <w:rFonts w:hint="eastAsia" w:ascii="仿宋" w:hAnsi="仿宋" w:eastAsia="仿宋" w:cs="仿宋"/>
          <w:kern w:val="44"/>
          <w:sz w:val="28"/>
          <w:szCs w:val="28"/>
          <w:lang w:eastAsia="zh-CN"/>
        </w:rPr>
        <w:t>湛江市朗坤环保能源有限公司</w:t>
      </w:r>
      <w:r>
        <w:rPr>
          <w:rFonts w:hint="eastAsia" w:ascii="仿宋" w:hAnsi="仿宋" w:eastAsia="仿宋" w:cs="仿宋"/>
          <w:sz w:val="28"/>
          <w:szCs w:val="28"/>
        </w:rPr>
        <w:t>烟气净化系统工艺如下：采用半干法+活性炭吸附+布袋除尘器+SNCR，其中活性炭系统自活性炭间至尾部烟道；干粉系统（</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粉）自干粉间至尾部烟道；石灰制浆系统（</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粉）从石灰浆制备间至脱酸塔；尿素自SNCR间至锅炉高温区；螯合剂与飞灰螯合后装袋。根据烟气处理其它项目参考活性炭单耗约为   吨/天，</w:t>
      </w:r>
      <w:r>
        <w:rPr>
          <w:rFonts w:hint="eastAsia" w:ascii="仿宋" w:hAnsi="仿宋" w:eastAsia="仿宋" w:cs="仿宋"/>
          <w:sz w:val="28"/>
          <w:szCs w:val="28"/>
          <w:lang w:eastAsia="zh-CN"/>
        </w:rPr>
        <w:t>粉状煤质活性炭</w:t>
      </w:r>
      <w:r>
        <w:rPr>
          <w:rFonts w:hint="eastAsia" w:ascii="仿宋" w:hAnsi="仿宋" w:eastAsia="仿宋" w:cs="仿宋"/>
          <w:sz w:val="28"/>
          <w:szCs w:val="28"/>
        </w:rPr>
        <w:t>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约为</w:t>
      </w:r>
      <w:r>
        <w:rPr>
          <w:rFonts w:hint="eastAsia" w:ascii="仿宋" w:hAnsi="仿宋" w:eastAsia="仿宋" w:cs="仿宋"/>
          <w:sz w:val="28"/>
          <w:szCs w:val="28"/>
          <w:lang w:val="en-US" w:eastAsia="zh-CN"/>
        </w:rPr>
        <w:t>18</w:t>
      </w:r>
      <w:r>
        <w:rPr>
          <w:rFonts w:hint="eastAsia" w:ascii="仿宋" w:hAnsi="仿宋" w:eastAsia="仿宋" w:cs="仿宋"/>
          <w:sz w:val="28"/>
          <w:szCs w:val="28"/>
        </w:rPr>
        <w:t>0吨；。</w:t>
      </w:r>
    </w:p>
    <w:p w14:paraId="3D3D30C9">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627AE4F7">
      <w:pPr>
        <w:spacing w:line="440" w:lineRule="exact"/>
        <w:rPr>
          <w:rFonts w:hint="default" w:ascii="仿宋" w:hAnsi="仿宋" w:eastAsia="仿宋" w:cs="仿宋"/>
          <w:kern w:val="44"/>
          <w:sz w:val="28"/>
          <w:szCs w:val="28"/>
          <w:lang w:val="en-US" w:eastAsia="zh-CN"/>
        </w:rPr>
      </w:pPr>
      <w:r>
        <w:rPr>
          <w:rFonts w:hint="eastAsia" w:ascii="仿宋" w:hAnsi="仿宋" w:eastAsia="仿宋" w:cs="仿宋"/>
          <w:kern w:val="44"/>
          <w:sz w:val="28"/>
          <w:szCs w:val="28"/>
          <w:lang w:val="en-US" w:eastAsia="zh-CN"/>
        </w:rPr>
        <w:t>3、</w:t>
      </w:r>
      <w:r>
        <w:rPr>
          <w:rFonts w:hint="eastAsia" w:ascii="仿宋" w:hAnsi="仿宋" w:eastAsia="仿宋" w:cs="仿宋"/>
          <w:b/>
          <w:bCs/>
          <w:kern w:val="44"/>
          <w:sz w:val="28"/>
          <w:szCs w:val="28"/>
          <w:lang w:val="en-US" w:eastAsia="zh-CN"/>
        </w:rPr>
        <w:t>投标方需提供粉状煤质活性炭第三方检测报告</w:t>
      </w:r>
      <w:r>
        <w:rPr>
          <w:rFonts w:hint="eastAsia" w:ascii="仿宋" w:hAnsi="仿宋" w:eastAsia="仿宋" w:cs="仿宋"/>
          <w:kern w:val="44"/>
          <w:sz w:val="28"/>
          <w:szCs w:val="28"/>
          <w:lang w:val="en-US" w:eastAsia="zh-CN"/>
        </w:rPr>
        <w:t>。</w:t>
      </w:r>
    </w:p>
    <w:p w14:paraId="3CA91CCA">
      <w:pPr>
        <w:snapToGrid w:val="0"/>
        <w:spacing w:line="440" w:lineRule="exact"/>
        <w:rPr>
          <w:rFonts w:hint="eastAsia" w:ascii="仿宋" w:hAnsi="仿宋" w:eastAsia="仿宋" w:cs="仿宋"/>
          <w:kern w:val="44"/>
          <w:sz w:val="28"/>
          <w:szCs w:val="28"/>
        </w:rPr>
      </w:pPr>
    </w:p>
    <w:p w14:paraId="6F14595F">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A20B25"/>
    <w:multiLevelType w:val="singleLevel"/>
    <w:tmpl w:val="64A20B25"/>
    <w:lvl w:ilvl="0" w:tentative="0">
      <w:start w:val="1"/>
      <w:numFmt w:val="chineseCounting"/>
      <w:suff w:val="nothing"/>
      <w:lvlText w:val="%1）"/>
      <w:lvlJc w:val="left"/>
      <w:rPr>
        <w:rFonts w:hint="eastAsia"/>
      </w:rPr>
    </w:lvl>
  </w:abstractNum>
  <w:abstractNum w:abstractNumId="1">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D6899"/>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14C06"/>
    <w:rsid w:val="034675D0"/>
    <w:rsid w:val="03FB485E"/>
    <w:rsid w:val="04235541"/>
    <w:rsid w:val="05575AC4"/>
    <w:rsid w:val="05E43751"/>
    <w:rsid w:val="065F7326"/>
    <w:rsid w:val="068428E9"/>
    <w:rsid w:val="0728596A"/>
    <w:rsid w:val="07B0770E"/>
    <w:rsid w:val="07E15B19"/>
    <w:rsid w:val="07F93B7A"/>
    <w:rsid w:val="085608FD"/>
    <w:rsid w:val="089112ED"/>
    <w:rsid w:val="08C81C73"/>
    <w:rsid w:val="0A56558B"/>
    <w:rsid w:val="0A7669ED"/>
    <w:rsid w:val="0AB37C41"/>
    <w:rsid w:val="0AC21C32"/>
    <w:rsid w:val="0B2C78C3"/>
    <w:rsid w:val="0B3F14D4"/>
    <w:rsid w:val="0B5F3925"/>
    <w:rsid w:val="0B892750"/>
    <w:rsid w:val="0C593912"/>
    <w:rsid w:val="0CC04897"/>
    <w:rsid w:val="0DE34399"/>
    <w:rsid w:val="0E5B794D"/>
    <w:rsid w:val="0F916F1E"/>
    <w:rsid w:val="106F5AD2"/>
    <w:rsid w:val="107B2FAF"/>
    <w:rsid w:val="11765524"/>
    <w:rsid w:val="11D84431"/>
    <w:rsid w:val="12763A52"/>
    <w:rsid w:val="12D70244"/>
    <w:rsid w:val="12EA7F78"/>
    <w:rsid w:val="13010F42"/>
    <w:rsid w:val="13086650"/>
    <w:rsid w:val="14F25809"/>
    <w:rsid w:val="1543632C"/>
    <w:rsid w:val="158521DA"/>
    <w:rsid w:val="158F4E06"/>
    <w:rsid w:val="159D5775"/>
    <w:rsid w:val="159E329B"/>
    <w:rsid w:val="16445BF1"/>
    <w:rsid w:val="16710EBD"/>
    <w:rsid w:val="168B1A72"/>
    <w:rsid w:val="16975AF5"/>
    <w:rsid w:val="16CA721C"/>
    <w:rsid w:val="1706734A"/>
    <w:rsid w:val="1711641B"/>
    <w:rsid w:val="17323584"/>
    <w:rsid w:val="17CA0378"/>
    <w:rsid w:val="18406A73"/>
    <w:rsid w:val="18C15C1F"/>
    <w:rsid w:val="18FB5F94"/>
    <w:rsid w:val="193C7053"/>
    <w:rsid w:val="194523AC"/>
    <w:rsid w:val="195C76F5"/>
    <w:rsid w:val="19687E48"/>
    <w:rsid w:val="1A8011C2"/>
    <w:rsid w:val="1B061915"/>
    <w:rsid w:val="1B067919"/>
    <w:rsid w:val="1BC42663"/>
    <w:rsid w:val="1C8F393E"/>
    <w:rsid w:val="1DCD2970"/>
    <w:rsid w:val="1DD106B2"/>
    <w:rsid w:val="1DFC3255"/>
    <w:rsid w:val="1E05035C"/>
    <w:rsid w:val="1EAE454F"/>
    <w:rsid w:val="1F070103"/>
    <w:rsid w:val="1F1B770B"/>
    <w:rsid w:val="1F971487"/>
    <w:rsid w:val="1FD47FE6"/>
    <w:rsid w:val="20BC5C20"/>
    <w:rsid w:val="20E73D48"/>
    <w:rsid w:val="20E97AC1"/>
    <w:rsid w:val="21A41C3A"/>
    <w:rsid w:val="21EB1616"/>
    <w:rsid w:val="21FA7AAB"/>
    <w:rsid w:val="228850B7"/>
    <w:rsid w:val="228A52D3"/>
    <w:rsid w:val="228F4698"/>
    <w:rsid w:val="22A719E1"/>
    <w:rsid w:val="23700025"/>
    <w:rsid w:val="23C55669"/>
    <w:rsid w:val="240F17D6"/>
    <w:rsid w:val="24DD793C"/>
    <w:rsid w:val="253A4D8F"/>
    <w:rsid w:val="256C2A6E"/>
    <w:rsid w:val="258B52DD"/>
    <w:rsid w:val="25BE6FE6"/>
    <w:rsid w:val="26661BB3"/>
    <w:rsid w:val="26D16D39"/>
    <w:rsid w:val="271B299E"/>
    <w:rsid w:val="278A5506"/>
    <w:rsid w:val="288602EB"/>
    <w:rsid w:val="28862099"/>
    <w:rsid w:val="28BE1833"/>
    <w:rsid w:val="28E374EB"/>
    <w:rsid w:val="29A625D1"/>
    <w:rsid w:val="2A293624"/>
    <w:rsid w:val="2AFB43D6"/>
    <w:rsid w:val="2BD355F5"/>
    <w:rsid w:val="2BE23739"/>
    <w:rsid w:val="2C3170D7"/>
    <w:rsid w:val="2C74487D"/>
    <w:rsid w:val="2C9E3E55"/>
    <w:rsid w:val="2DC45B3D"/>
    <w:rsid w:val="2E92252E"/>
    <w:rsid w:val="2F01691D"/>
    <w:rsid w:val="2F963509"/>
    <w:rsid w:val="305B02AF"/>
    <w:rsid w:val="31091AB9"/>
    <w:rsid w:val="31941AD5"/>
    <w:rsid w:val="31EA5447"/>
    <w:rsid w:val="32432DA9"/>
    <w:rsid w:val="32DC6EF6"/>
    <w:rsid w:val="333D5A4A"/>
    <w:rsid w:val="339733AC"/>
    <w:rsid w:val="345E211C"/>
    <w:rsid w:val="34E97C37"/>
    <w:rsid w:val="353C6584"/>
    <w:rsid w:val="35B244CD"/>
    <w:rsid w:val="35F920FC"/>
    <w:rsid w:val="360B1E2F"/>
    <w:rsid w:val="360F36CE"/>
    <w:rsid w:val="362D624A"/>
    <w:rsid w:val="36590DED"/>
    <w:rsid w:val="36B424C7"/>
    <w:rsid w:val="36BB51F4"/>
    <w:rsid w:val="36E20DE2"/>
    <w:rsid w:val="37092813"/>
    <w:rsid w:val="37BC7885"/>
    <w:rsid w:val="38A345A1"/>
    <w:rsid w:val="39447B32"/>
    <w:rsid w:val="39D37108"/>
    <w:rsid w:val="3A0472C2"/>
    <w:rsid w:val="3A465B2C"/>
    <w:rsid w:val="3A773F37"/>
    <w:rsid w:val="3B8E32E7"/>
    <w:rsid w:val="3BDA477E"/>
    <w:rsid w:val="3C94492D"/>
    <w:rsid w:val="3CF8135F"/>
    <w:rsid w:val="3DEF3806"/>
    <w:rsid w:val="3E4D7489"/>
    <w:rsid w:val="3EEC6CA2"/>
    <w:rsid w:val="3F057D64"/>
    <w:rsid w:val="3F8073EA"/>
    <w:rsid w:val="3FF91CB6"/>
    <w:rsid w:val="4010076E"/>
    <w:rsid w:val="40FE0F0E"/>
    <w:rsid w:val="42021EDE"/>
    <w:rsid w:val="421F113C"/>
    <w:rsid w:val="42254279"/>
    <w:rsid w:val="422B5D33"/>
    <w:rsid w:val="425B7C9B"/>
    <w:rsid w:val="429F227D"/>
    <w:rsid w:val="43C04259"/>
    <w:rsid w:val="446F6F84"/>
    <w:rsid w:val="44F214EB"/>
    <w:rsid w:val="45A3254E"/>
    <w:rsid w:val="45D73ADC"/>
    <w:rsid w:val="45E71F71"/>
    <w:rsid w:val="46B81B60"/>
    <w:rsid w:val="474B4782"/>
    <w:rsid w:val="47AA0C6D"/>
    <w:rsid w:val="47F366F7"/>
    <w:rsid w:val="48AA101E"/>
    <w:rsid w:val="495F4514"/>
    <w:rsid w:val="49631BE5"/>
    <w:rsid w:val="496F0BFB"/>
    <w:rsid w:val="4A282B58"/>
    <w:rsid w:val="4A6242BC"/>
    <w:rsid w:val="4A6B22B2"/>
    <w:rsid w:val="4A8A3813"/>
    <w:rsid w:val="4AA85A47"/>
    <w:rsid w:val="4ABB577A"/>
    <w:rsid w:val="4AC959D0"/>
    <w:rsid w:val="4AE56E9A"/>
    <w:rsid w:val="4B0E200C"/>
    <w:rsid w:val="4B983D0E"/>
    <w:rsid w:val="4BF20AB3"/>
    <w:rsid w:val="4C4579F1"/>
    <w:rsid w:val="4C7107E7"/>
    <w:rsid w:val="4C8D3147"/>
    <w:rsid w:val="4D6420F9"/>
    <w:rsid w:val="4D8A1CAF"/>
    <w:rsid w:val="4EF851EF"/>
    <w:rsid w:val="4F2A189B"/>
    <w:rsid w:val="4F3E697A"/>
    <w:rsid w:val="4F894099"/>
    <w:rsid w:val="50336826"/>
    <w:rsid w:val="520B2954"/>
    <w:rsid w:val="52291B63"/>
    <w:rsid w:val="528943B0"/>
    <w:rsid w:val="53805784"/>
    <w:rsid w:val="53EC109A"/>
    <w:rsid w:val="54181E8F"/>
    <w:rsid w:val="5568451C"/>
    <w:rsid w:val="557D34DC"/>
    <w:rsid w:val="571E3D72"/>
    <w:rsid w:val="57511940"/>
    <w:rsid w:val="57A547F7"/>
    <w:rsid w:val="57F329F7"/>
    <w:rsid w:val="583A6878"/>
    <w:rsid w:val="58DF4D2A"/>
    <w:rsid w:val="591F15CA"/>
    <w:rsid w:val="593B714F"/>
    <w:rsid w:val="595C281E"/>
    <w:rsid w:val="597B0EF6"/>
    <w:rsid w:val="5AD92379"/>
    <w:rsid w:val="5B3550D5"/>
    <w:rsid w:val="5B694D7F"/>
    <w:rsid w:val="5C05424F"/>
    <w:rsid w:val="5C3F2626"/>
    <w:rsid w:val="5CA442C0"/>
    <w:rsid w:val="5D174D32"/>
    <w:rsid w:val="5D3513BC"/>
    <w:rsid w:val="5D65398D"/>
    <w:rsid w:val="5DE54B90"/>
    <w:rsid w:val="5E336092"/>
    <w:rsid w:val="5E3D49CC"/>
    <w:rsid w:val="5EF961CD"/>
    <w:rsid w:val="5F4B4EC7"/>
    <w:rsid w:val="5FD77BF1"/>
    <w:rsid w:val="60FF41BB"/>
    <w:rsid w:val="611B7262"/>
    <w:rsid w:val="62D6719E"/>
    <w:rsid w:val="62D90A3C"/>
    <w:rsid w:val="62E80C7F"/>
    <w:rsid w:val="631321A0"/>
    <w:rsid w:val="63253C81"/>
    <w:rsid w:val="632B573B"/>
    <w:rsid w:val="637D2331"/>
    <w:rsid w:val="637F5A87"/>
    <w:rsid w:val="63974B7F"/>
    <w:rsid w:val="63E45BD4"/>
    <w:rsid w:val="640D6BEF"/>
    <w:rsid w:val="64281C7B"/>
    <w:rsid w:val="647B13BB"/>
    <w:rsid w:val="64C80D68"/>
    <w:rsid w:val="652C12F7"/>
    <w:rsid w:val="65332685"/>
    <w:rsid w:val="65384140"/>
    <w:rsid w:val="654A5952"/>
    <w:rsid w:val="65F26CA4"/>
    <w:rsid w:val="66644AC0"/>
    <w:rsid w:val="66AD6467"/>
    <w:rsid w:val="66E410C4"/>
    <w:rsid w:val="67D55C76"/>
    <w:rsid w:val="68A35D74"/>
    <w:rsid w:val="68D46AC8"/>
    <w:rsid w:val="68F465CF"/>
    <w:rsid w:val="69DA7573"/>
    <w:rsid w:val="6A0D33A3"/>
    <w:rsid w:val="6A3D3FA6"/>
    <w:rsid w:val="6A4250A0"/>
    <w:rsid w:val="6A470981"/>
    <w:rsid w:val="6A5C442C"/>
    <w:rsid w:val="6A9C0CCD"/>
    <w:rsid w:val="6AB9187F"/>
    <w:rsid w:val="6B013699"/>
    <w:rsid w:val="6B3B2294"/>
    <w:rsid w:val="6BA047ED"/>
    <w:rsid w:val="6BE91CF0"/>
    <w:rsid w:val="6C4E5FF7"/>
    <w:rsid w:val="6C8C6B1F"/>
    <w:rsid w:val="6D567859"/>
    <w:rsid w:val="6DA85BDA"/>
    <w:rsid w:val="6DFFD528"/>
    <w:rsid w:val="6E66587A"/>
    <w:rsid w:val="6EC3758C"/>
    <w:rsid w:val="6FEF7AF1"/>
    <w:rsid w:val="70910BA8"/>
    <w:rsid w:val="709A7A5C"/>
    <w:rsid w:val="70CD6084"/>
    <w:rsid w:val="713954C7"/>
    <w:rsid w:val="71F36F0B"/>
    <w:rsid w:val="74D30172"/>
    <w:rsid w:val="754D1541"/>
    <w:rsid w:val="7553467E"/>
    <w:rsid w:val="75ED37DD"/>
    <w:rsid w:val="760F4CDA"/>
    <w:rsid w:val="76165DD7"/>
    <w:rsid w:val="7634625D"/>
    <w:rsid w:val="76FB6D7B"/>
    <w:rsid w:val="777D3C34"/>
    <w:rsid w:val="78994A9D"/>
    <w:rsid w:val="797D25FA"/>
    <w:rsid w:val="79915775"/>
    <w:rsid w:val="7B1228E5"/>
    <w:rsid w:val="7D124E1E"/>
    <w:rsid w:val="7D4C20DE"/>
    <w:rsid w:val="7D5947FB"/>
    <w:rsid w:val="7D7F6A8A"/>
    <w:rsid w:val="7D8B70AB"/>
    <w:rsid w:val="7DFF35F5"/>
    <w:rsid w:val="7F7840F3"/>
    <w:rsid w:val="7F9D30C5"/>
    <w:rsid w:val="7FA53D28"/>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5549</Words>
  <Characters>6211</Characters>
  <Lines>48</Lines>
  <Paragraphs>13</Paragraphs>
  <TotalTime>3</TotalTime>
  <ScaleCrop>false</ScaleCrop>
  <LinksUpToDate>false</LinksUpToDate>
  <CharactersWithSpaces>6852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2025-05-14T06:18:44Z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D3745B240752468198C0D5383B4EF188_12</vt:lpwstr>
  </property>
  <property fmtid="{D5CDD505-2E9C-101B-9397-08002B2CF9AE}" pid="4" name="KSOTemplateDocerSaveRecord">
    <vt:lpwstr>eyJoZGlkIjoiZDhkNGNmNmQ1OTE2OTJhMzQyMzdlZmI0MjMyZDI4YzciLCJ1c2VySWQiOiIzNjg5NDY5MjUifQ==</vt:lpwstr>
  </property>
</Properties>
</file>